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6D" w:rsidRDefault="00C8016D" w:rsidP="008D68B8">
      <w:pPr>
        <w:rPr>
          <w:b/>
          <w:bCs/>
        </w:rPr>
      </w:pPr>
    </w:p>
    <w:p w:rsidR="00A1207A" w:rsidRDefault="00A1207A" w:rsidP="00A1207A">
      <w:pPr>
        <w:jc w:val="center"/>
        <w:rPr>
          <w:b/>
          <w:bCs/>
          <w:sz w:val="24"/>
          <w:szCs w:val="24"/>
        </w:rPr>
      </w:pPr>
      <w:r w:rsidRPr="00A1207A">
        <w:rPr>
          <w:b/>
          <w:bCs/>
          <w:sz w:val="24"/>
          <w:szCs w:val="24"/>
        </w:rPr>
        <w:t xml:space="preserve">Često postavljana pitanja sa odgovorima </w:t>
      </w:r>
    </w:p>
    <w:p w:rsidR="005E275F" w:rsidRDefault="005E275F" w:rsidP="005E275F">
      <w:pPr>
        <w:jc w:val="center"/>
        <w:rPr>
          <w:b/>
          <w:bCs/>
          <w:sz w:val="24"/>
          <w:szCs w:val="24"/>
        </w:rPr>
      </w:pPr>
      <w:r w:rsidRPr="005E275F">
        <w:rPr>
          <w:b/>
          <w:bCs/>
          <w:sz w:val="24"/>
          <w:szCs w:val="24"/>
        </w:rPr>
        <w:t>Šema grantova za inovacije</w:t>
      </w:r>
    </w:p>
    <w:p w:rsidR="00025DA9" w:rsidRPr="005B18EC" w:rsidRDefault="00025DA9" w:rsidP="00025DA9">
      <w:pPr>
        <w:rPr>
          <w:b/>
          <w:bCs/>
        </w:rPr>
      </w:pPr>
      <w:r w:rsidRPr="005B18EC">
        <w:rPr>
          <w:b/>
          <w:bCs/>
        </w:rPr>
        <w:t xml:space="preserve">1. Koliko su strogi administrativni kriterijumi? Da li postoji fleksibilnost </w:t>
      </w:r>
      <w:r>
        <w:rPr>
          <w:b/>
          <w:bCs/>
        </w:rPr>
        <w:t xml:space="preserve">oko potrebnim </w:t>
      </w:r>
      <w:r w:rsidRPr="005B18EC">
        <w:rPr>
          <w:b/>
          <w:bCs/>
        </w:rPr>
        <w:t>dokument</w:t>
      </w:r>
      <w:r>
        <w:rPr>
          <w:b/>
          <w:bCs/>
        </w:rPr>
        <w:t>ima</w:t>
      </w:r>
      <w:r w:rsidRPr="005B18EC">
        <w:rPr>
          <w:b/>
          <w:bCs/>
        </w:rPr>
        <w:t xml:space="preserve"> ili datuma registracije </w:t>
      </w:r>
      <w:r>
        <w:rPr>
          <w:b/>
          <w:bCs/>
        </w:rPr>
        <w:t>biznisa</w:t>
      </w:r>
      <w:r w:rsidRPr="005B18EC">
        <w:rPr>
          <w:b/>
          <w:bCs/>
        </w:rPr>
        <w:t xml:space="preserve">?  </w:t>
      </w:r>
    </w:p>
    <w:p w:rsidR="00025DA9" w:rsidRPr="005B18EC" w:rsidRDefault="00025DA9" w:rsidP="00025DA9">
      <w:r w:rsidRPr="005B18EC">
        <w:t xml:space="preserve">Administrativni kriterijumi su </w:t>
      </w:r>
      <w:r>
        <w:t>neophodni, nisu fleksibilni,</w:t>
      </w:r>
      <w:r w:rsidRPr="005B18EC">
        <w:t xml:space="preserve"> i ne mogu se zaobići ni pod kojim okolnostima. Preporučujemo da pažljivo pregledate sve kriterijume i </w:t>
      </w:r>
      <w:r>
        <w:t>da aplicirate samo ako potpunjavate svaki kriterijum</w:t>
      </w:r>
      <w:r w:rsidRPr="005B18EC">
        <w:t xml:space="preserve">. Ako je vaš </w:t>
      </w:r>
      <w:r>
        <w:t xml:space="preserve">biznis </w:t>
      </w:r>
      <w:r w:rsidRPr="005B18EC">
        <w:t xml:space="preserve">registrovan nakon 29. februara 2024., </w:t>
      </w:r>
      <w:r>
        <w:t>na</w:t>
      </w:r>
      <w:r>
        <w:rPr>
          <w:lang/>
        </w:rPr>
        <w:t xml:space="preserve">žalost </w:t>
      </w:r>
      <w:r w:rsidRPr="005B18EC">
        <w:t xml:space="preserve">nemate pravo da </w:t>
      </w:r>
      <w:r>
        <w:t>aplicirate</w:t>
      </w:r>
      <w:r w:rsidRPr="005B18EC">
        <w:t>.</w:t>
      </w:r>
    </w:p>
    <w:p w:rsidR="00025DA9" w:rsidRPr="005B18EC" w:rsidRDefault="00025DA9" w:rsidP="00025DA9">
      <w:pPr>
        <w:rPr>
          <w:b/>
          <w:bCs/>
        </w:rPr>
      </w:pPr>
      <w:r w:rsidRPr="005B18EC">
        <w:rPr>
          <w:b/>
          <w:bCs/>
        </w:rPr>
        <w:t xml:space="preserve">2. Da li ispunjavam uslove da se prijavim ako sam nedavno dobio još jedan grant?  </w:t>
      </w:r>
    </w:p>
    <w:p w:rsidR="00025DA9" w:rsidRPr="005B18EC" w:rsidRDefault="00025DA9" w:rsidP="00025DA9">
      <w:r w:rsidRPr="005B18EC">
        <w:t xml:space="preserve">Primanje granta od drugih donatora, uključujući i javne donatore, nije problem. Međutim, ne ispunjavate uslove ako ste dobili grant od KIESA u poslednje dve godine, ako imate neizmirene obaveze prema bilo kojoj javnoj instituciji za finansiranje na Kosovu, ili ste dostigli </w:t>
      </w:r>
      <w:r>
        <w:t xml:space="preserve">granicu </w:t>
      </w:r>
      <w:r w:rsidRPr="005B18EC">
        <w:t>državne pomoći.</w:t>
      </w:r>
    </w:p>
    <w:p w:rsidR="00025DA9" w:rsidRPr="005B18EC" w:rsidRDefault="00025DA9" w:rsidP="00025DA9">
      <w:pPr>
        <w:rPr>
          <w:b/>
          <w:bCs/>
        </w:rPr>
      </w:pPr>
      <w:r w:rsidRPr="005B18EC">
        <w:rPr>
          <w:b/>
          <w:bCs/>
        </w:rPr>
        <w:t xml:space="preserve">3. Da li preduzeća iz svih sektora imaju pravo da se prijave?  </w:t>
      </w:r>
    </w:p>
    <w:p w:rsidR="00025DA9" w:rsidRPr="005B18EC" w:rsidRDefault="00025DA9" w:rsidP="00025DA9">
      <w:r w:rsidRPr="005B18EC">
        <w:t>Da, preduzeća iz svih sektora sa primarnim ili sekundarnim aktivnostima u proizvodnji, preradi i uslugama su kvalifikovana, osim onih koja su fokusirana na trgovinu.</w:t>
      </w:r>
    </w:p>
    <w:p w:rsidR="00025DA9" w:rsidRPr="005B18EC" w:rsidRDefault="00025DA9" w:rsidP="00025DA9">
      <w:pPr>
        <w:rPr>
          <w:b/>
          <w:bCs/>
        </w:rPr>
      </w:pPr>
      <w:r w:rsidRPr="005B18EC">
        <w:rPr>
          <w:b/>
          <w:bCs/>
        </w:rPr>
        <w:t xml:space="preserve">4. Mogu li podneti prijavu na drugim jezicima?  </w:t>
      </w:r>
    </w:p>
    <w:p w:rsidR="00025DA9" w:rsidRPr="005B18EC" w:rsidRDefault="00025DA9" w:rsidP="00025DA9">
      <w:r w:rsidRPr="005B18EC">
        <w:t>Da, prijave se mogu podneti na albanskom, srpskom ili engleskom jeziku.</w:t>
      </w:r>
    </w:p>
    <w:p w:rsidR="00025DA9" w:rsidRPr="005B18EC" w:rsidRDefault="00025DA9" w:rsidP="00025DA9">
      <w:pPr>
        <w:rPr>
          <w:b/>
          <w:bCs/>
        </w:rPr>
      </w:pPr>
      <w:r w:rsidRPr="005B18EC">
        <w:rPr>
          <w:b/>
          <w:bCs/>
        </w:rPr>
        <w:t xml:space="preserve">5. Da li ovaj grant pokriva preduzeća iz svih regiona Kosova?  </w:t>
      </w:r>
    </w:p>
    <w:p w:rsidR="00025DA9" w:rsidRPr="005B18EC" w:rsidRDefault="00025DA9" w:rsidP="00025DA9">
      <w:r w:rsidRPr="005B18EC">
        <w:t xml:space="preserve">Da, grant je dostupan preduzećima iz svih regiona i opština na Kosovu, </w:t>
      </w:r>
      <w:r>
        <w:t xml:space="preserve">naravno, pod uslovom </w:t>
      </w:r>
      <w:r w:rsidRPr="005B18EC">
        <w:t>d</w:t>
      </w:r>
      <w:r>
        <w:t>a</w:t>
      </w:r>
      <w:r w:rsidRPr="005B18EC">
        <w:t xml:space="preserve"> je biznis registrovan na Kosovu.</w:t>
      </w:r>
    </w:p>
    <w:p w:rsidR="00025DA9" w:rsidRPr="00232881" w:rsidRDefault="00025DA9" w:rsidP="00025DA9">
      <w:pPr>
        <w:rPr>
          <w:b/>
          <w:bCs/>
        </w:rPr>
      </w:pPr>
      <w:r w:rsidRPr="00232881">
        <w:rPr>
          <w:b/>
          <w:bCs/>
        </w:rPr>
        <w:t xml:space="preserve">6. Mogu li se prijaviti za projekat koji ne spada u registrovani primarni ili sekundarni sektor moje kompanije?  </w:t>
      </w:r>
    </w:p>
    <w:p w:rsidR="00C52178" w:rsidRDefault="00C52178" w:rsidP="00025DA9">
      <w:r w:rsidRPr="00C52178">
        <w:t>U skladu sa odeljkom 5.3 Dodatna pojašnjenja o Smernicama za šemu grantova za inovacije, šifre primarne i sekundarne aktivnosti treba da budu relevantne za poziv pre datuma otvaranja šeme grantova za inovacije (8. oktobar 2024). U slučaju da predlog bude izabran od strane komisije za ocenjivanje, a postoji potreba za dodavanjem još jednog koda aktivnosti, moguće je dodatno prilagoditi šifru aktivnosti odobrenim Inovacionim projektom.</w:t>
      </w:r>
    </w:p>
    <w:p w:rsidR="00025DA9" w:rsidRPr="00232881" w:rsidRDefault="00025DA9" w:rsidP="00025DA9">
      <w:pPr>
        <w:rPr>
          <w:b/>
          <w:bCs/>
        </w:rPr>
      </w:pPr>
      <w:r w:rsidRPr="00232881">
        <w:rPr>
          <w:b/>
          <w:bCs/>
        </w:rPr>
        <w:t xml:space="preserve">7. Mogu li se prijaviti za dve različite šeme grantova istovremeno od KIESA?  </w:t>
      </w:r>
    </w:p>
    <w:p w:rsidR="00025DA9" w:rsidRDefault="00025DA9" w:rsidP="00025DA9">
      <w:r w:rsidRPr="005B18EC">
        <w:t xml:space="preserve">Da, </w:t>
      </w:r>
      <w:r>
        <w:t>imate tu mogućnost</w:t>
      </w:r>
      <w:r w:rsidRPr="005B18EC">
        <w:t>. Međutim, od KIESA-e ne možete dobiti sredstva iz dve ili više šema grantova u poslednje dve godine.</w:t>
      </w:r>
    </w:p>
    <w:p w:rsidR="00764E1B" w:rsidRDefault="00764E1B" w:rsidP="00025DA9"/>
    <w:p w:rsidR="00764E1B" w:rsidRPr="005B18EC" w:rsidRDefault="00764E1B" w:rsidP="00025DA9"/>
    <w:p w:rsidR="00283B74" w:rsidRDefault="00283B74" w:rsidP="00025DA9">
      <w:pPr>
        <w:rPr>
          <w:b/>
          <w:bCs/>
        </w:rPr>
      </w:pPr>
    </w:p>
    <w:p w:rsidR="00283B74" w:rsidRDefault="00283B74" w:rsidP="00025DA9">
      <w:pPr>
        <w:rPr>
          <w:b/>
          <w:bCs/>
        </w:rPr>
      </w:pPr>
    </w:p>
    <w:p w:rsidR="00283B74" w:rsidRDefault="00283B74" w:rsidP="00025DA9">
      <w:pPr>
        <w:rPr>
          <w:b/>
          <w:bCs/>
        </w:rPr>
      </w:pPr>
    </w:p>
    <w:p w:rsidR="00283B74" w:rsidRDefault="00025DA9" w:rsidP="00025DA9">
      <w:pPr>
        <w:rPr>
          <w:b/>
          <w:bCs/>
        </w:rPr>
      </w:pPr>
      <w:r w:rsidRPr="00232881">
        <w:rPr>
          <w:b/>
          <w:bCs/>
        </w:rPr>
        <w:t xml:space="preserve">8. Mogu li se prijaviti sa dva različita preduzeća ili ako sam akcionar u dve odvojene kompanije?  </w:t>
      </w:r>
    </w:p>
    <w:p w:rsidR="00025DA9" w:rsidRPr="00232881" w:rsidRDefault="00025DA9" w:rsidP="00025DA9">
      <w:pPr>
        <w:rPr>
          <w:b/>
          <w:bCs/>
        </w:rPr>
      </w:pPr>
      <w:r w:rsidRPr="005B18EC">
        <w:t>Da, možete, sve dok su obe kompanije deo predloga inovativnog projekta i da će ga sprovoditi.</w:t>
      </w:r>
    </w:p>
    <w:p w:rsidR="00025DA9" w:rsidRPr="00232881" w:rsidRDefault="00025DA9" w:rsidP="00025DA9">
      <w:pPr>
        <w:rPr>
          <w:b/>
          <w:bCs/>
        </w:rPr>
      </w:pPr>
      <w:r w:rsidRPr="00232881">
        <w:rPr>
          <w:b/>
          <w:bCs/>
        </w:rPr>
        <w:t xml:space="preserve">9. </w:t>
      </w:r>
      <w:r>
        <w:rPr>
          <w:b/>
          <w:bCs/>
        </w:rPr>
        <w:t>Ja</w:t>
      </w:r>
      <w:r w:rsidRPr="00232881">
        <w:rPr>
          <w:b/>
          <w:bCs/>
        </w:rPr>
        <w:t xml:space="preserve"> imam uspešan </w:t>
      </w:r>
      <w:r>
        <w:rPr>
          <w:b/>
          <w:bCs/>
        </w:rPr>
        <w:t>biznis</w:t>
      </w:r>
      <w:r w:rsidRPr="00232881">
        <w:rPr>
          <w:b/>
          <w:bCs/>
        </w:rPr>
        <w:t xml:space="preserve"> sa velikim prometom i mnogo zaposlenih, ali je </w:t>
      </w:r>
      <w:r>
        <w:rPr>
          <w:b/>
          <w:bCs/>
        </w:rPr>
        <w:t>osnovan</w:t>
      </w:r>
      <w:r w:rsidRPr="00232881">
        <w:rPr>
          <w:b/>
          <w:bCs/>
        </w:rPr>
        <w:t xml:space="preserve"> manje od 5 godina, da li mogu da se prijavim za Lot 1 (</w:t>
      </w:r>
      <w:r>
        <w:rPr>
          <w:b/>
          <w:bCs/>
        </w:rPr>
        <w:t>MMSP</w:t>
      </w:r>
      <w:r w:rsidRPr="00232881">
        <w:rPr>
          <w:b/>
          <w:bCs/>
        </w:rPr>
        <w:t xml:space="preserve">), ili imam pravo samo na Lot 2 (Start-up)?  </w:t>
      </w:r>
    </w:p>
    <w:p w:rsidR="00025DA9" w:rsidRPr="005B18EC" w:rsidRDefault="00025DA9" w:rsidP="00025DA9">
      <w:r w:rsidRPr="005B18EC">
        <w:t xml:space="preserve">Ako je vaše preduzeće registrovano 1. januara 2019. ili kasnije, smatra se </w:t>
      </w:r>
      <w:r>
        <w:t>kao start-up,</w:t>
      </w:r>
      <w:r w:rsidRPr="005B18EC">
        <w:t xml:space="preserve"> u svrhu ove šeme grantova. Ako je registrovano pre tog datuma, klasifikovano je kao MMSP. Molimo pogledajte </w:t>
      </w:r>
      <w:r>
        <w:t>ovaj</w:t>
      </w:r>
      <w:r w:rsidRPr="005B18EC">
        <w:t xml:space="preserve"> (</w:t>
      </w:r>
      <w:hyperlink r:id="rId10" w:history="1">
        <w:r w:rsidRPr="00025DA9">
          <w:rPr>
            <w:rStyle w:val="Hyperlink"/>
          </w:rPr>
          <w:t>LINK</w:t>
        </w:r>
      </w:hyperlink>
      <w:r w:rsidRPr="005B18EC">
        <w:t>) za više detalja.</w:t>
      </w:r>
    </w:p>
    <w:p w:rsidR="00025DA9" w:rsidRPr="00232881" w:rsidRDefault="00025DA9" w:rsidP="00025DA9">
      <w:pPr>
        <w:rPr>
          <w:b/>
          <w:bCs/>
        </w:rPr>
      </w:pPr>
      <w:r w:rsidRPr="00232881">
        <w:rPr>
          <w:b/>
          <w:bCs/>
        </w:rPr>
        <w:t>10. Moj posao je nedavno prošao reorganizaciju (iz individualnog u DOO), ali je osnovan više od pet godina. Da li se još uvek kvalifikujem za Lot 1 (</w:t>
      </w:r>
      <w:r>
        <w:rPr>
          <w:b/>
          <w:bCs/>
        </w:rPr>
        <w:t>MMSP</w:t>
      </w:r>
      <w:r w:rsidRPr="00232881">
        <w:rPr>
          <w:b/>
          <w:bCs/>
        </w:rPr>
        <w:t xml:space="preserve">)?  </w:t>
      </w:r>
    </w:p>
    <w:p w:rsidR="00025DA9" w:rsidRPr="005B18EC" w:rsidRDefault="00025DA9" w:rsidP="00025DA9">
      <w:r w:rsidRPr="005B18EC">
        <w:t>Ako preduzeće nije promenilo naziv, sektorski fokus ili pravni status – samo svoj tip vlasništva – onda se i dalje smatra istim entitetom. Prvobitni datum osnivanja će odrediti da li je vaše preduzeće klasifikovano kao MMSP ili novo preduzeće.</w:t>
      </w:r>
    </w:p>
    <w:p w:rsidR="00025DA9" w:rsidRPr="00232881" w:rsidRDefault="00025DA9" w:rsidP="00025DA9">
      <w:pPr>
        <w:rPr>
          <w:b/>
          <w:bCs/>
        </w:rPr>
      </w:pPr>
      <w:r w:rsidRPr="00232881">
        <w:rPr>
          <w:b/>
          <w:bCs/>
        </w:rPr>
        <w:t xml:space="preserve">11. Mogu li se prijaviti u ime drugog preduzeća?  </w:t>
      </w:r>
    </w:p>
    <w:p w:rsidR="00025DA9" w:rsidRPr="005B18EC" w:rsidRDefault="00025DA9" w:rsidP="00025DA9">
      <w:r w:rsidRPr="005B18EC">
        <w:t>Ne, preduzeće koje se prijavi mora biti direktni korisnik granta.</w:t>
      </w:r>
    </w:p>
    <w:p w:rsidR="00025DA9" w:rsidRPr="00232881" w:rsidRDefault="00025DA9" w:rsidP="00025DA9">
      <w:pPr>
        <w:rPr>
          <w:b/>
          <w:bCs/>
        </w:rPr>
      </w:pPr>
      <w:r w:rsidRPr="00232881">
        <w:rPr>
          <w:b/>
          <w:bCs/>
        </w:rPr>
        <w:t>12. Mogu li da registrujem svoj start</w:t>
      </w:r>
      <w:r>
        <w:rPr>
          <w:b/>
          <w:bCs/>
        </w:rPr>
        <w:t>-u</w:t>
      </w:r>
      <w:r w:rsidRPr="00232881">
        <w:rPr>
          <w:b/>
          <w:bCs/>
        </w:rPr>
        <w:t xml:space="preserve">p tek nakon što dobijem grant?  </w:t>
      </w:r>
    </w:p>
    <w:p w:rsidR="00025DA9" w:rsidRDefault="00025DA9" w:rsidP="00025DA9">
      <w:r w:rsidRPr="005B18EC">
        <w:t>Ne, samo preduzeća registrovana pre 29. februara 2024. imaju pravo da se prijave.</w:t>
      </w:r>
    </w:p>
    <w:p w:rsidR="00025DA9" w:rsidRPr="00232881" w:rsidRDefault="00025DA9" w:rsidP="00025DA9">
      <w:pPr>
        <w:rPr>
          <w:b/>
          <w:bCs/>
        </w:rPr>
      </w:pPr>
      <w:r w:rsidRPr="00232881">
        <w:rPr>
          <w:b/>
          <w:bCs/>
        </w:rPr>
        <w:t xml:space="preserve">13. Mislim da je jedan minut prekratak za traženi video. Gde treba da se postavi i da li mora da bude javan?  </w:t>
      </w:r>
    </w:p>
    <w:p w:rsidR="00025DA9" w:rsidRPr="005B18EC" w:rsidRDefault="00025DA9" w:rsidP="00025DA9">
      <w:r w:rsidRPr="005B18EC">
        <w:t>Video služi kao „</w:t>
      </w:r>
      <w:r>
        <w:t>elevatior pitch</w:t>
      </w:r>
      <w:r w:rsidRPr="005B18EC">
        <w:t xml:space="preserve">“ koji ukratko </w:t>
      </w:r>
      <w:r>
        <w:t xml:space="preserve">treba da </w:t>
      </w:r>
      <w:r w:rsidRPr="005B18EC">
        <w:t>predstav</w:t>
      </w:r>
      <w:r>
        <w:t>i</w:t>
      </w:r>
      <w:r w:rsidRPr="005B18EC">
        <w:t xml:space="preserve"> ključne tačke vašeg predloga projekta. Ne mora da bude javan, ali mora biti dostupan </w:t>
      </w:r>
      <w:r>
        <w:t xml:space="preserve">i </w:t>
      </w:r>
      <w:r w:rsidRPr="005B18EC">
        <w:t>u standardnom formatu</w:t>
      </w:r>
      <w:r>
        <w:t xml:space="preserve"> članovima komisije</w:t>
      </w:r>
      <w:r w:rsidRPr="005B18EC">
        <w:t>. Za više detalja, pogledajte Aneks 2 (</w:t>
      </w:r>
      <w:hyperlink r:id="rId11" w:history="1">
        <w:r w:rsidRPr="00025DA9">
          <w:rPr>
            <w:rStyle w:val="Hyperlink"/>
          </w:rPr>
          <w:t>LINK</w:t>
        </w:r>
      </w:hyperlink>
      <w:r w:rsidRPr="005B18EC">
        <w:t>).</w:t>
      </w:r>
    </w:p>
    <w:p w:rsidR="00025DA9" w:rsidRPr="00232881" w:rsidRDefault="00025DA9" w:rsidP="00025DA9">
      <w:pPr>
        <w:rPr>
          <w:b/>
          <w:bCs/>
        </w:rPr>
      </w:pPr>
      <w:r w:rsidRPr="00232881">
        <w:rPr>
          <w:b/>
          <w:bCs/>
        </w:rPr>
        <w:t xml:space="preserve">14. Da li mogu da uključim osoblje koje radi van Kosova kao deo svog projektnog tima?  </w:t>
      </w:r>
    </w:p>
    <w:p w:rsidR="00025DA9" w:rsidRPr="005B18EC" w:rsidRDefault="00025DA9" w:rsidP="00025DA9">
      <w:r w:rsidRPr="005B18EC">
        <w:t>Da, dozvoljeni su i njihova uloga i doprinos implementaciji projekta treba da budu jasno definisani.</w:t>
      </w:r>
    </w:p>
    <w:p w:rsidR="00025DA9" w:rsidRPr="006F3451" w:rsidRDefault="00025DA9" w:rsidP="00025DA9">
      <w:pPr>
        <w:rPr>
          <w:b/>
          <w:bCs/>
        </w:rPr>
      </w:pPr>
      <w:r w:rsidRPr="006F3451">
        <w:rPr>
          <w:b/>
          <w:bCs/>
        </w:rPr>
        <w:t>15. Da li je granica navedena u smernicama</w:t>
      </w:r>
      <w:r>
        <w:rPr>
          <w:b/>
          <w:bCs/>
        </w:rPr>
        <w:t>,</w:t>
      </w:r>
      <w:r w:rsidRPr="006F3451">
        <w:rPr>
          <w:b/>
          <w:bCs/>
        </w:rPr>
        <w:t xml:space="preserve"> maksimalni iznos granta ili ukupan budžet predloga projekta?  </w:t>
      </w:r>
    </w:p>
    <w:p w:rsidR="00025DA9" w:rsidRPr="005B18EC" w:rsidRDefault="00025DA9" w:rsidP="00025DA9">
      <w:r w:rsidRPr="005B18EC">
        <w:t>Gornja granica se odnosi na maksimalni iznos granta. Ne postoji ograničenje za ukupne troškove projekta, što uključuje vaš doprinos.</w:t>
      </w:r>
    </w:p>
    <w:p w:rsidR="00025DA9" w:rsidRPr="006F3451" w:rsidRDefault="00025DA9" w:rsidP="00025DA9">
      <w:pPr>
        <w:rPr>
          <w:b/>
          <w:bCs/>
        </w:rPr>
      </w:pPr>
      <w:r w:rsidRPr="006F3451">
        <w:rPr>
          <w:b/>
          <w:bCs/>
        </w:rPr>
        <w:t xml:space="preserve">16. Koji su prihvatljivi troškovi pokriveni ovim grantom?  </w:t>
      </w:r>
    </w:p>
    <w:p w:rsidR="00025DA9" w:rsidRPr="005B18EC" w:rsidRDefault="00025DA9" w:rsidP="00025DA9">
      <w:r w:rsidRPr="005B18EC">
        <w:t>Molimo pogledajte odeljak 7 smernic</w:t>
      </w:r>
      <w:r>
        <w:t>e</w:t>
      </w:r>
      <w:r w:rsidRPr="005B18EC">
        <w:t xml:space="preserve"> (</w:t>
      </w:r>
      <w:hyperlink r:id="rId12" w:history="1">
        <w:r w:rsidRPr="00025DA9">
          <w:rPr>
            <w:rStyle w:val="Hyperlink"/>
          </w:rPr>
          <w:t>LINK</w:t>
        </w:r>
      </w:hyperlink>
      <w:r w:rsidRPr="005B18EC">
        <w:t>). Samo troškovi koji su tamo navedeni, u okviru navedenih procenata, ispunjavaju uslove za pokriće grantova.</w:t>
      </w:r>
    </w:p>
    <w:p w:rsidR="00283B74" w:rsidRDefault="00283B74" w:rsidP="00025DA9">
      <w:pPr>
        <w:rPr>
          <w:b/>
          <w:bCs/>
        </w:rPr>
      </w:pPr>
    </w:p>
    <w:p w:rsidR="00283B74" w:rsidRDefault="00283B74" w:rsidP="00025DA9">
      <w:pPr>
        <w:rPr>
          <w:b/>
          <w:bCs/>
        </w:rPr>
      </w:pPr>
    </w:p>
    <w:p w:rsidR="00025DA9" w:rsidRPr="006F3451" w:rsidRDefault="00025DA9" w:rsidP="00025DA9">
      <w:pPr>
        <w:rPr>
          <w:b/>
          <w:bCs/>
        </w:rPr>
      </w:pPr>
      <w:r w:rsidRPr="006F3451">
        <w:rPr>
          <w:b/>
          <w:bCs/>
        </w:rPr>
        <w:t xml:space="preserve">17. Gde da navedem svoj procenat doprinosa ukupnom budžetu projekta?  </w:t>
      </w:r>
    </w:p>
    <w:p w:rsidR="00025DA9" w:rsidRPr="005B18EC" w:rsidRDefault="00025DA9" w:rsidP="00025DA9">
      <w:r w:rsidRPr="005B18EC">
        <w:t>U obrascu za prijavu projekta, odeljak 2.3.2 Budžet, postoji namenski prostor za iznos podele troškova aplikanata izražen u ukupnom iznosu i procentu.</w:t>
      </w:r>
    </w:p>
    <w:p w:rsidR="00025DA9" w:rsidRPr="006F3451" w:rsidRDefault="00025DA9" w:rsidP="00025DA9">
      <w:pPr>
        <w:rPr>
          <w:b/>
          <w:bCs/>
        </w:rPr>
      </w:pPr>
      <w:r w:rsidRPr="006F3451">
        <w:rPr>
          <w:b/>
          <w:bCs/>
        </w:rPr>
        <w:t xml:space="preserve">18. Da li mogu da iskoristim pun iznos granta za kupovinu opreme, dok sam pokrijem preostale troškove?  </w:t>
      </w:r>
    </w:p>
    <w:p w:rsidR="00025DA9" w:rsidRPr="005B18EC" w:rsidRDefault="00025DA9" w:rsidP="00025DA9">
      <w:r w:rsidRPr="005B18EC">
        <w:t>Ne, grant se može koristiti samo za troškove kako je navedeno u odeljku o prihvatljivim troškovima smernica (</w:t>
      </w:r>
      <w:hyperlink r:id="rId13" w:history="1">
        <w:r w:rsidRPr="00025DA9">
          <w:rPr>
            <w:rStyle w:val="Hyperlink"/>
          </w:rPr>
          <w:t>LINK</w:t>
        </w:r>
      </w:hyperlink>
      <w:r w:rsidRPr="005B18EC">
        <w:t>), odeljak 7.</w:t>
      </w:r>
    </w:p>
    <w:p w:rsidR="00025DA9" w:rsidRPr="006F3451" w:rsidRDefault="00025DA9" w:rsidP="00025DA9">
      <w:pPr>
        <w:rPr>
          <w:b/>
          <w:bCs/>
        </w:rPr>
      </w:pPr>
      <w:r w:rsidRPr="006F3451">
        <w:rPr>
          <w:b/>
          <w:bCs/>
        </w:rPr>
        <w:t xml:space="preserve">19. Da li treba da </w:t>
      </w:r>
      <w:r>
        <w:rPr>
          <w:b/>
          <w:bCs/>
        </w:rPr>
        <w:t>dostavim</w:t>
      </w:r>
      <w:r w:rsidRPr="006F3451">
        <w:rPr>
          <w:b/>
          <w:bCs/>
        </w:rPr>
        <w:t xml:space="preserve"> ponude i ugovore uz svoju aplikaciju ili ih mogu dostaviti kasnije?  </w:t>
      </w:r>
    </w:p>
    <w:p w:rsidR="00025DA9" w:rsidRPr="005B18EC" w:rsidRDefault="00025DA9" w:rsidP="00025DA9">
      <w:r w:rsidRPr="005B18EC">
        <w:t xml:space="preserve">Potrebno je samo da dostavite potrebna dokumenta i procenjeni budžet tokom procesa </w:t>
      </w:r>
      <w:r>
        <w:t>aplikacije</w:t>
      </w:r>
      <w:r w:rsidRPr="005B18EC">
        <w:t xml:space="preserve">. Ako budete izabrani kao korisnik, moraćete da pružite relevantne ponude pre potpisivanja ugovora kako biste opravdali procenjene </w:t>
      </w:r>
      <w:r>
        <w:t>budžeta</w:t>
      </w:r>
      <w:r w:rsidRPr="005B18EC">
        <w:t>.</w:t>
      </w:r>
    </w:p>
    <w:p w:rsidR="00025DA9" w:rsidRPr="00C550D3" w:rsidRDefault="00025DA9" w:rsidP="00025DA9">
      <w:pPr>
        <w:rPr>
          <w:b/>
          <w:bCs/>
        </w:rPr>
      </w:pPr>
      <w:r w:rsidRPr="00C550D3">
        <w:rPr>
          <w:b/>
          <w:bCs/>
        </w:rPr>
        <w:t xml:space="preserve">20. Da li treba da navedem konkretne detalje o artiklima koje planiram da kupim u obrascu za prijavu?  </w:t>
      </w:r>
    </w:p>
    <w:p w:rsidR="00025DA9" w:rsidRPr="005B18EC" w:rsidRDefault="00025DA9" w:rsidP="00025DA9">
      <w:r w:rsidRPr="005B18EC">
        <w:t>Da, barem osnovne detalje (npr. CNC mašina, model xxx, procenjena cena xxxx).</w:t>
      </w:r>
    </w:p>
    <w:p w:rsidR="00025DA9" w:rsidRPr="00C550D3" w:rsidRDefault="00025DA9" w:rsidP="00025DA9">
      <w:pPr>
        <w:rPr>
          <w:b/>
          <w:bCs/>
        </w:rPr>
      </w:pPr>
      <w:r w:rsidRPr="00C550D3">
        <w:rPr>
          <w:b/>
          <w:bCs/>
        </w:rPr>
        <w:t xml:space="preserve">21. Kako mogu da zaobiđem ograničenje od 5 MB prilikom otpremanja dokumenata i da li mogu zameniti dokumenta nakon podnošenja?  </w:t>
      </w:r>
    </w:p>
    <w:p w:rsidR="00025DA9" w:rsidRPr="005B18EC" w:rsidRDefault="00025DA9" w:rsidP="00025DA9">
      <w:r w:rsidRPr="005B18EC">
        <w:t>Ne možete zaobići granicu. Preporučujemo da komprimujete dokumente pre otpremanja. Jednom predati dokumenti se ne mogu zameniti.</w:t>
      </w:r>
    </w:p>
    <w:p w:rsidR="00025DA9" w:rsidRPr="00C550D3" w:rsidRDefault="00025DA9" w:rsidP="00025DA9">
      <w:pPr>
        <w:rPr>
          <w:b/>
          <w:bCs/>
        </w:rPr>
      </w:pPr>
      <w:r w:rsidRPr="00C550D3">
        <w:rPr>
          <w:b/>
          <w:bCs/>
        </w:rPr>
        <w:t xml:space="preserve">22. Kako mogu da pošaljem više dokumenata istog tipa kada je dostupan samo jedan slot za </w:t>
      </w:r>
      <w:r>
        <w:rPr>
          <w:b/>
          <w:bCs/>
        </w:rPr>
        <w:t>aplodiranja</w:t>
      </w:r>
      <w:r w:rsidRPr="00C550D3">
        <w:rPr>
          <w:b/>
          <w:bCs/>
        </w:rPr>
        <w:t xml:space="preserve">?  </w:t>
      </w:r>
    </w:p>
    <w:p w:rsidR="00025DA9" w:rsidRPr="005B18EC" w:rsidRDefault="00025DA9" w:rsidP="00025DA9">
      <w:r w:rsidRPr="005B18EC">
        <w:t>Ako su dokumenti iste prirode, kombinujte ih u jed</w:t>
      </w:r>
      <w:r>
        <w:t>an</w:t>
      </w:r>
      <w:r w:rsidRPr="005B18EC">
        <w:t xml:space="preserve"> PDF pre </w:t>
      </w:r>
      <w:r>
        <w:t>aplodiranja</w:t>
      </w:r>
      <w:r w:rsidRPr="005B18EC">
        <w:t>.</w:t>
      </w:r>
    </w:p>
    <w:p w:rsidR="00025DA9" w:rsidRPr="00C550D3" w:rsidRDefault="00025DA9" w:rsidP="00025DA9">
      <w:pPr>
        <w:rPr>
          <w:b/>
          <w:bCs/>
        </w:rPr>
      </w:pPr>
      <w:r w:rsidRPr="00C550D3">
        <w:rPr>
          <w:b/>
          <w:bCs/>
        </w:rPr>
        <w:t xml:space="preserve">23. Da li KIESA ima posebne stručnjake za procenu svakog projekta iz svakog sektora?  </w:t>
      </w:r>
    </w:p>
    <w:p w:rsidR="00025DA9" w:rsidRPr="005B18EC" w:rsidRDefault="00025DA9" w:rsidP="00025DA9">
      <w:r w:rsidRPr="005B18EC">
        <w:t>Ne, komisija za ocenjivanje nema stručnjake za određene sektore. Međutim, komisija će uključiti stručnjake za inovacije koji će proceniti potencijalni uticaj projekta na vaše poslovanje. Za više detalja, pogledajte Poglavlje 14 uputstava (</w:t>
      </w:r>
      <w:hyperlink r:id="rId14" w:history="1">
        <w:r w:rsidRPr="00025DA9">
          <w:rPr>
            <w:rStyle w:val="Hyperlink"/>
          </w:rPr>
          <w:t>LINK</w:t>
        </w:r>
      </w:hyperlink>
      <w:r w:rsidRPr="005B18EC">
        <w:t>).</w:t>
      </w:r>
    </w:p>
    <w:p w:rsidR="00025DA9" w:rsidRPr="00C550D3" w:rsidRDefault="00025DA9" w:rsidP="00025DA9">
      <w:pPr>
        <w:rPr>
          <w:b/>
          <w:bCs/>
        </w:rPr>
      </w:pPr>
      <w:r w:rsidRPr="00C550D3">
        <w:rPr>
          <w:b/>
          <w:bCs/>
        </w:rPr>
        <w:t xml:space="preserve">24. Kako </w:t>
      </w:r>
      <w:r>
        <w:rPr>
          <w:b/>
          <w:bCs/>
        </w:rPr>
        <w:t xml:space="preserve">da budem siguran </w:t>
      </w:r>
      <w:r w:rsidRPr="00C550D3">
        <w:rPr>
          <w:b/>
          <w:bCs/>
        </w:rPr>
        <w:t>da moj predlog projekta osta</w:t>
      </w:r>
      <w:r>
        <w:rPr>
          <w:b/>
          <w:bCs/>
        </w:rPr>
        <w:t>će</w:t>
      </w:r>
      <w:r w:rsidRPr="00C550D3">
        <w:rPr>
          <w:b/>
          <w:bCs/>
        </w:rPr>
        <w:t xml:space="preserve"> poverljiv?  </w:t>
      </w:r>
    </w:p>
    <w:p w:rsidR="00025DA9" w:rsidRPr="005B18EC" w:rsidRDefault="00025DA9" w:rsidP="00025DA9">
      <w:r w:rsidRPr="005B18EC">
        <w:t xml:space="preserve">Poverljivost shvatamo ozbiljno. Svi članovi komisije za ocenjivanje su obavezani zakletvom o poverljivosti, a sistem e-Kosova funkcioniše u skladu sa kosovskim zakonima o zaštiti podataka. Osim opštih podataka kao što su naziv preduzeća, aktivnosti, vlasnici i ukupan budžet, sve ostale informacije, uključujući sadržaj predloga projekta, </w:t>
      </w:r>
      <w:r>
        <w:t>spadaju pod principima poverljivosti</w:t>
      </w:r>
      <w:r w:rsidRPr="005B18EC">
        <w:t>.</w:t>
      </w:r>
    </w:p>
    <w:p w:rsidR="00C8016D" w:rsidRPr="008D68B8" w:rsidRDefault="00C8016D" w:rsidP="00025DA9"/>
    <w:sectPr w:rsidR="00C8016D" w:rsidRPr="008D68B8" w:rsidSect="00C8016D">
      <w:headerReference w:type="default" r:id="rId15"/>
      <w:footerReference w:type="default" r:id="rId16"/>
      <w:pgSz w:w="12240" w:h="15840"/>
      <w:pgMar w:top="1440" w:right="1440" w:bottom="1440" w:left="1440" w:header="68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666" w:rsidRDefault="002F4666">
      <w:pPr>
        <w:spacing w:after="0" w:line="240" w:lineRule="auto"/>
      </w:pPr>
      <w:r>
        <w:separator/>
      </w:r>
    </w:p>
  </w:endnote>
  <w:endnote w:type="continuationSeparator" w:id="1">
    <w:p w:rsidR="002F4666" w:rsidRDefault="002F4666">
      <w:pPr>
        <w:spacing w:after="0" w:line="240" w:lineRule="auto"/>
      </w:pPr>
      <w:r>
        <w:continuationSeparator/>
      </w:r>
    </w:p>
  </w:endnote>
  <w:endnote w:type="continuationNotice" w:id="2">
    <w:p w:rsidR="002F4666" w:rsidRDefault="002F4666">
      <w:pPr>
        <w:spacing w:after="0" w:line="240" w:lineRule="auto"/>
      </w:pP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1A088B0" w:rsidTr="01A088B0">
      <w:trPr>
        <w:trHeight w:val="300"/>
      </w:trPr>
      <w:tc>
        <w:tcPr>
          <w:tcW w:w="3120" w:type="dxa"/>
        </w:tcPr>
        <w:p w:rsidR="01A088B0" w:rsidRDefault="01A088B0" w:rsidP="01A088B0">
          <w:pPr>
            <w:pStyle w:val="Header"/>
            <w:ind w:left="-115"/>
          </w:pPr>
        </w:p>
      </w:tc>
      <w:tc>
        <w:tcPr>
          <w:tcW w:w="3120" w:type="dxa"/>
        </w:tcPr>
        <w:p w:rsidR="01A088B0" w:rsidRDefault="01A088B0" w:rsidP="01A088B0">
          <w:pPr>
            <w:pStyle w:val="Header"/>
            <w:jc w:val="center"/>
          </w:pPr>
        </w:p>
      </w:tc>
      <w:tc>
        <w:tcPr>
          <w:tcW w:w="3120" w:type="dxa"/>
        </w:tcPr>
        <w:p w:rsidR="01A088B0" w:rsidRDefault="01A088B0" w:rsidP="01A088B0">
          <w:pPr>
            <w:pStyle w:val="Header"/>
            <w:ind w:right="-115"/>
            <w:jc w:val="right"/>
          </w:pPr>
        </w:p>
      </w:tc>
    </w:tr>
  </w:tbl>
  <w:p w:rsidR="01A088B0" w:rsidRDefault="01A088B0" w:rsidP="01A08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666" w:rsidRDefault="002F4666">
      <w:pPr>
        <w:spacing w:after="0" w:line="240" w:lineRule="auto"/>
      </w:pPr>
      <w:r>
        <w:separator/>
      </w:r>
    </w:p>
  </w:footnote>
  <w:footnote w:type="continuationSeparator" w:id="1">
    <w:p w:rsidR="002F4666" w:rsidRDefault="002F4666">
      <w:pPr>
        <w:spacing w:after="0" w:line="240" w:lineRule="auto"/>
      </w:pPr>
      <w:r>
        <w:continuationSeparator/>
      </w:r>
    </w:p>
  </w:footnote>
  <w:footnote w:type="continuationNotice" w:id="2">
    <w:p w:rsidR="002F4666" w:rsidRDefault="002F4666">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1A088B0" w:rsidTr="01A088B0">
      <w:trPr>
        <w:trHeight w:val="300"/>
      </w:trPr>
      <w:tc>
        <w:tcPr>
          <w:tcW w:w="3120" w:type="dxa"/>
        </w:tcPr>
        <w:p w:rsidR="01A088B0" w:rsidRDefault="01A088B0" w:rsidP="00CE32C3">
          <w:pPr>
            <w:pStyle w:val="Header"/>
            <w:ind w:left="-115"/>
            <w:jc w:val="center"/>
          </w:pPr>
        </w:p>
      </w:tc>
      <w:tc>
        <w:tcPr>
          <w:tcW w:w="3120" w:type="dxa"/>
        </w:tcPr>
        <w:p w:rsidR="01A088B0" w:rsidRDefault="00CE32C3" w:rsidP="01A088B0">
          <w:pPr>
            <w:pStyle w:val="Header"/>
            <w:jc w:val="center"/>
          </w:pPr>
          <w:r w:rsidRPr="00CE32C3">
            <w:rPr>
              <w:noProof/>
            </w:rPr>
            <w:drawing>
              <wp:anchor distT="36576" distB="36576" distL="36576" distR="36576" simplePos="0" relativeHeight="251657216" behindDoc="0" locked="0" layoutInCell="1" allowOverlap="1">
                <wp:simplePos x="0" y="0"/>
                <wp:positionH relativeFrom="column">
                  <wp:align>left</wp:align>
                </wp:positionH>
                <wp:positionV relativeFrom="page">
                  <wp:align>top</wp:align>
                </wp:positionV>
                <wp:extent cx="1566000" cy="306000"/>
                <wp:effectExtent l="0" t="0" r="0" b="0"/>
                <wp:wrapNone/>
                <wp:docPr id="7349520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6000" cy="306000"/>
                        </a:xfrm>
                        <a:prstGeom prst="rect">
                          <a:avLst/>
                        </a:prstGeom>
                        <a:noFill/>
                        <a:ln>
                          <a:noFill/>
                        </a:ln>
                        <a:effectLst/>
                      </pic:spPr>
                    </pic:pic>
                  </a:graphicData>
                </a:graphic>
              </wp:anchor>
            </w:drawing>
          </w:r>
        </w:p>
      </w:tc>
      <w:tc>
        <w:tcPr>
          <w:tcW w:w="3120" w:type="dxa"/>
        </w:tcPr>
        <w:p w:rsidR="01A088B0" w:rsidRDefault="00CE32C3" w:rsidP="01A088B0">
          <w:pPr>
            <w:pStyle w:val="Header"/>
            <w:ind w:right="-115"/>
            <w:jc w:val="right"/>
          </w:pPr>
          <w:r w:rsidRPr="00CE32C3">
            <w:rPr>
              <w:noProof/>
            </w:rPr>
            <w:drawing>
              <wp:anchor distT="36576" distB="36576" distL="36576" distR="36576" simplePos="0" relativeHeight="251681792" behindDoc="0" locked="0" layoutInCell="1" allowOverlap="1">
                <wp:simplePos x="0" y="0"/>
                <wp:positionH relativeFrom="column">
                  <wp:posOffset>899414</wp:posOffset>
                </wp:positionH>
                <wp:positionV relativeFrom="paragraph">
                  <wp:posOffset>-433274</wp:posOffset>
                </wp:positionV>
                <wp:extent cx="1396365" cy="895985"/>
                <wp:effectExtent l="0" t="0" r="0" b="0"/>
                <wp:wrapNone/>
                <wp:docPr id="18030774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6365" cy="895985"/>
                        </a:xfrm>
                        <a:prstGeom prst="rect">
                          <a:avLst/>
                        </a:prstGeom>
                        <a:noFill/>
                        <a:ln>
                          <a:noFill/>
                        </a:ln>
                        <a:effectLst/>
                      </pic:spPr>
                    </pic:pic>
                  </a:graphicData>
                </a:graphic>
              </wp:anchor>
            </w:drawing>
          </w:r>
        </w:p>
      </w:tc>
    </w:tr>
  </w:tbl>
  <w:p w:rsidR="01A088B0" w:rsidRDefault="00F73BA5" w:rsidP="01A088B0">
    <w:pPr>
      <w:pStyle w:val="Header"/>
    </w:pPr>
    <w:r>
      <w:rPr>
        <w:noProof/>
      </w:rPr>
      <w:pict>
        <v:shapetype id="_x0000_t202" coordsize="21600,21600" o:spt="202" path="m,l,21600r21600,l21600,xe">
          <v:stroke joinstyle="miter"/>
          <v:path gradientshapeok="t" o:connecttype="rect"/>
        </v:shapetype>
        <v:shape id="Text Box 5" o:spid="_x0000_s1026" type="#_x0000_t202" style="position:absolute;margin-left:-46.1pt;margin-top:1.4pt;width:196.4pt;height:49.55pt;z-index:251706368;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" filled="f" fillcolor="#5b9bd5" stroked="f" strokecolor="black [0]" strokeweight="2pt">
          <v:textbox inset="2.88pt,2.88pt,2.88pt,2.88pt">
            <w:txbxContent>
              <w:p w:rsidR="00CE32C3" w:rsidRPr="00C8016D" w:rsidRDefault="00CE32C3" w:rsidP="00CE32C3">
                <w:pPr>
                  <w:widowControl w:val="0"/>
                  <w:spacing w:after="0"/>
                  <w:rPr>
                    <w:b/>
                    <w:bCs/>
                    <w:sz w:val="14"/>
                    <w:szCs w:val="14"/>
                    <w:lang w:val="sq-AL"/>
                  </w:rPr>
                </w:pPr>
                <w:r w:rsidRPr="00C8016D">
                  <w:rPr>
                    <w:b/>
                    <w:bCs/>
                    <w:sz w:val="14"/>
                    <w:szCs w:val="14"/>
                    <w:lang w:val="sq-AL"/>
                  </w:rPr>
                  <w:t>Republika e Kosovës – Qeveria – Vlada – Government</w:t>
                </w:r>
              </w:p>
              <w:p w:rsidR="00CE32C3" w:rsidRPr="00C8016D" w:rsidRDefault="00CE32C3" w:rsidP="00CE32C3">
                <w:pPr>
                  <w:widowControl w:val="0"/>
                  <w:spacing w:after="0"/>
                  <w:rPr>
                    <w:i/>
                    <w:iCs/>
                    <w:sz w:val="14"/>
                    <w:szCs w:val="14"/>
                    <w:lang w:val="sq-AL"/>
                  </w:rPr>
                </w:pPr>
                <w:r w:rsidRPr="00C8016D">
                  <w:rPr>
                    <w:i/>
                    <w:iCs/>
                    <w:sz w:val="14"/>
                    <w:szCs w:val="14"/>
                    <w:lang w:val="sq-AL"/>
                  </w:rPr>
                  <w:t>Ministria e Industrisë, Ndërmarrësisë dhe Tregtisë</w:t>
                </w:r>
              </w:p>
              <w:p w:rsidR="00CE32C3" w:rsidRPr="00C8016D" w:rsidRDefault="00CE32C3" w:rsidP="00CE32C3">
                <w:pPr>
                  <w:widowControl w:val="0"/>
                  <w:spacing w:after="0"/>
                  <w:rPr>
                    <w:i/>
                    <w:iCs/>
                    <w:sz w:val="14"/>
                    <w:szCs w:val="14"/>
                    <w:lang w:val="sq-AL"/>
                  </w:rPr>
                </w:pPr>
                <w:r w:rsidRPr="00C8016D">
                  <w:rPr>
                    <w:i/>
                    <w:iCs/>
                    <w:sz w:val="14"/>
                    <w:szCs w:val="14"/>
                    <w:lang w:val="sq-AL"/>
                  </w:rPr>
                  <w:t>MinistarstvoIndustrije, Preduzetnistva i Trgovine</w:t>
                </w:r>
              </w:p>
              <w:p w:rsidR="00CE32C3" w:rsidRPr="00C8016D" w:rsidRDefault="00CE32C3" w:rsidP="00CE32C3">
                <w:pPr>
                  <w:widowControl w:val="0"/>
                  <w:spacing w:after="0"/>
                  <w:rPr>
                    <w:i/>
                    <w:iCs/>
                    <w:sz w:val="14"/>
                    <w:szCs w:val="14"/>
                  </w:rPr>
                </w:pPr>
                <w:r w:rsidRPr="00C8016D">
                  <w:rPr>
                    <w:i/>
                    <w:iCs/>
                    <w:sz w:val="14"/>
                    <w:szCs w:val="14"/>
                  </w:rPr>
                  <w:t>Ministry of Industry,Entrepreneurship and Trade</w:t>
                </w:r>
              </w:p>
            </w:txbxContent>
          </v:textbox>
        </v:shape>
      </w:pict>
    </w:r>
    <w:r w:rsidR="00CE32C3" w:rsidRPr="00CE32C3">
      <w:rPr>
        <w:noProof/>
      </w:rPr>
      <w:drawing>
        <wp:anchor distT="36576" distB="36576" distL="36576" distR="36576" simplePos="0" relativeHeight="251632640" behindDoc="0" locked="0" layoutInCell="1" allowOverlap="1">
          <wp:simplePos x="0" y="0"/>
          <wp:positionH relativeFrom="column">
            <wp:posOffset>-183083</wp:posOffset>
          </wp:positionH>
          <wp:positionV relativeFrom="paragraph">
            <wp:posOffset>-547827</wp:posOffset>
          </wp:positionV>
          <wp:extent cx="578485" cy="583565"/>
          <wp:effectExtent l="0" t="0" r="0" b="6985"/>
          <wp:wrapNone/>
          <wp:docPr id="6176250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8485" cy="583565"/>
                  </a:xfrm>
                  <a:prstGeom prst="rect">
                    <a:avLst/>
                  </a:prstGeom>
                  <a:noFill/>
                  <a:ln>
                    <a:noFill/>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A46"/>
    <w:multiLevelType w:val="multilevel"/>
    <w:tmpl w:val="0308A5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F5373"/>
    <w:multiLevelType w:val="hybridMultilevel"/>
    <w:tmpl w:val="44D4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215E0"/>
    <w:multiLevelType w:val="multilevel"/>
    <w:tmpl w:val="E17CD0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B623D3"/>
    <w:multiLevelType w:val="multilevel"/>
    <w:tmpl w:val="062C21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C3A79"/>
    <w:multiLevelType w:val="multilevel"/>
    <w:tmpl w:val="FFC8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2D1970"/>
    <w:multiLevelType w:val="multilevel"/>
    <w:tmpl w:val="3CD2A8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3E10A1"/>
    <w:multiLevelType w:val="hybridMultilevel"/>
    <w:tmpl w:val="E58E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4964EC"/>
    <w:multiLevelType w:val="multilevel"/>
    <w:tmpl w:val="E1A4F5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21229C"/>
    <w:multiLevelType w:val="multilevel"/>
    <w:tmpl w:val="060666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7"/>
  </w:num>
  <w:num w:numId="5">
    <w:abstractNumId w:val="0"/>
  </w:num>
  <w:num w:numId="6">
    <w:abstractNumId w:val="8"/>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 w:id="2"/>
  </w:footnotePr>
  <w:endnotePr>
    <w:endnote w:id="0"/>
    <w:endnote w:id="1"/>
    <w:endnote w:id="2"/>
  </w:endnotePr>
  <w:compat/>
  <w:rsids>
    <w:rsidRoot w:val="00DC7169"/>
    <w:rsid w:val="00025DA9"/>
    <w:rsid w:val="000F4EAD"/>
    <w:rsid w:val="00100362"/>
    <w:rsid w:val="0013600C"/>
    <w:rsid w:val="001E1D69"/>
    <w:rsid w:val="00210C68"/>
    <w:rsid w:val="00283B74"/>
    <w:rsid w:val="002F4666"/>
    <w:rsid w:val="00367775"/>
    <w:rsid w:val="00383F6B"/>
    <w:rsid w:val="0040044E"/>
    <w:rsid w:val="004531CC"/>
    <w:rsid w:val="005606A7"/>
    <w:rsid w:val="005746D0"/>
    <w:rsid w:val="005D6C45"/>
    <w:rsid w:val="005E275F"/>
    <w:rsid w:val="006603DB"/>
    <w:rsid w:val="006A4906"/>
    <w:rsid w:val="00764E1B"/>
    <w:rsid w:val="00771EC5"/>
    <w:rsid w:val="007D4794"/>
    <w:rsid w:val="008008EC"/>
    <w:rsid w:val="008D68B8"/>
    <w:rsid w:val="008F378D"/>
    <w:rsid w:val="00930299"/>
    <w:rsid w:val="009A061A"/>
    <w:rsid w:val="00A1207A"/>
    <w:rsid w:val="00AB67F0"/>
    <w:rsid w:val="00B41BA4"/>
    <w:rsid w:val="00BE21F2"/>
    <w:rsid w:val="00C10041"/>
    <w:rsid w:val="00C52178"/>
    <w:rsid w:val="00C8016D"/>
    <w:rsid w:val="00CE32C3"/>
    <w:rsid w:val="00D50E12"/>
    <w:rsid w:val="00DC7169"/>
    <w:rsid w:val="00F40FE3"/>
    <w:rsid w:val="00F6416B"/>
    <w:rsid w:val="00F73BA5"/>
    <w:rsid w:val="00FB029C"/>
    <w:rsid w:val="00FD117B"/>
    <w:rsid w:val="0141FC9F"/>
    <w:rsid w:val="01A088B0"/>
    <w:rsid w:val="01FB5985"/>
    <w:rsid w:val="02C1C037"/>
    <w:rsid w:val="05AF4B55"/>
    <w:rsid w:val="07E1A28E"/>
    <w:rsid w:val="0BBDD799"/>
    <w:rsid w:val="0ED16D8C"/>
    <w:rsid w:val="0EF2139C"/>
    <w:rsid w:val="1355E05C"/>
    <w:rsid w:val="16955450"/>
    <w:rsid w:val="18CCAA58"/>
    <w:rsid w:val="1A8F488F"/>
    <w:rsid w:val="1B06AAA3"/>
    <w:rsid w:val="1FBCFD7F"/>
    <w:rsid w:val="200FEFF8"/>
    <w:rsid w:val="235BFB37"/>
    <w:rsid w:val="263B6211"/>
    <w:rsid w:val="29DE03E0"/>
    <w:rsid w:val="2A8E305C"/>
    <w:rsid w:val="2B4F1150"/>
    <w:rsid w:val="2B9D4180"/>
    <w:rsid w:val="2D77E4B5"/>
    <w:rsid w:val="2FC774F1"/>
    <w:rsid w:val="30611BC7"/>
    <w:rsid w:val="331012A9"/>
    <w:rsid w:val="33D2B912"/>
    <w:rsid w:val="348DB997"/>
    <w:rsid w:val="385784FD"/>
    <w:rsid w:val="3A1AC43F"/>
    <w:rsid w:val="3D732B75"/>
    <w:rsid w:val="4006493E"/>
    <w:rsid w:val="402DD22A"/>
    <w:rsid w:val="488C6640"/>
    <w:rsid w:val="496DAFE0"/>
    <w:rsid w:val="4EED9204"/>
    <w:rsid w:val="4FB773D3"/>
    <w:rsid w:val="502EE721"/>
    <w:rsid w:val="50840152"/>
    <w:rsid w:val="50C389C0"/>
    <w:rsid w:val="52D16A4C"/>
    <w:rsid w:val="54E6938D"/>
    <w:rsid w:val="560F5D14"/>
    <w:rsid w:val="5817CC70"/>
    <w:rsid w:val="5904AD4A"/>
    <w:rsid w:val="5A52AD89"/>
    <w:rsid w:val="5CC4C923"/>
    <w:rsid w:val="5D0ED2F3"/>
    <w:rsid w:val="5E703ED5"/>
    <w:rsid w:val="5F37AC56"/>
    <w:rsid w:val="6444B858"/>
    <w:rsid w:val="67106AFC"/>
    <w:rsid w:val="695368D1"/>
    <w:rsid w:val="6ABCA93C"/>
    <w:rsid w:val="6C100038"/>
    <w:rsid w:val="72E2CF94"/>
    <w:rsid w:val="7AD7069D"/>
    <w:rsid w:val="7B168073"/>
    <w:rsid w:val="7D439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A9"/>
    <w:rPr>
      <w:lang/>
    </w:rPr>
  </w:style>
  <w:style w:type="paragraph" w:styleId="Heading1">
    <w:name w:val="heading 1"/>
    <w:basedOn w:val="Normal"/>
    <w:next w:val="Normal"/>
    <w:link w:val="Heading1Char"/>
    <w:uiPriority w:val="9"/>
    <w:qFormat/>
    <w:rsid w:val="00DC7169"/>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DC7169"/>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DC7169"/>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DC7169"/>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DC7169"/>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DC7169"/>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DC7169"/>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DC7169"/>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DC7169"/>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169"/>
    <w:rPr>
      <w:rFonts w:eastAsiaTheme="majorEastAsia" w:cstheme="majorBidi"/>
      <w:color w:val="272727" w:themeColor="text1" w:themeTint="D8"/>
    </w:rPr>
  </w:style>
  <w:style w:type="paragraph" w:styleId="Title">
    <w:name w:val="Title"/>
    <w:basedOn w:val="Normal"/>
    <w:next w:val="Normal"/>
    <w:link w:val="TitleChar"/>
    <w:uiPriority w:val="10"/>
    <w:qFormat/>
    <w:rsid w:val="00DC716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C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169"/>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C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169"/>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DC7169"/>
    <w:rPr>
      <w:i/>
      <w:iCs/>
      <w:color w:val="404040" w:themeColor="text1" w:themeTint="BF"/>
    </w:rPr>
  </w:style>
  <w:style w:type="paragraph" w:styleId="ListParagraph">
    <w:name w:val="List Paragraph"/>
    <w:basedOn w:val="Normal"/>
    <w:uiPriority w:val="34"/>
    <w:qFormat/>
    <w:rsid w:val="00DC7169"/>
    <w:pPr>
      <w:ind w:left="720"/>
      <w:contextualSpacing/>
    </w:pPr>
    <w:rPr>
      <w:lang w:val="en-US"/>
    </w:rPr>
  </w:style>
  <w:style w:type="character" w:styleId="IntenseEmphasis">
    <w:name w:val="Intense Emphasis"/>
    <w:basedOn w:val="DefaultParagraphFont"/>
    <w:uiPriority w:val="21"/>
    <w:qFormat/>
    <w:rsid w:val="00DC7169"/>
    <w:rPr>
      <w:i/>
      <w:iCs/>
      <w:color w:val="0F4761" w:themeColor="accent1" w:themeShade="BF"/>
    </w:rPr>
  </w:style>
  <w:style w:type="paragraph" w:styleId="IntenseQuote">
    <w:name w:val="Intense Quote"/>
    <w:basedOn w:val="Normal"/>
    <w:next w:val="Normal"/>
    <w:link w:val="IntenseQuoteChar"/>
    <w:uiPriority w:val="30"/>
    <w:qFormat/>
    <w:rsid w:val="00DC7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DC7169"/>
    <w:rPr>
      <w:i/>
      <w:iCs/>
      <w:color w:val="0F4761" w:themeColor="accent1" w:themeShade="BF"/>
    </w:rPr>
  </w:style>
  <w:style w:type="character" w:styleId="IntenseReference">
    <w:name w:val="Intense Reference"/>
    <w:basedOn w:val="DefaultParagraphFont"/>
    <w:uiPriority w:val="32"/>
    <w:qFormat/>
    <w:rsid w:val="00DC7169"/>
    <w:rPr>
      <w:b/>
      <w:bCs/>
      <w:smallCaps/>
      <w:color w:val="0F4761" w:themeColor="accent1" w:themeShade="BF"/>
      <w:spacing w:val="5"/>
    </w:rPr>
  </w:style>
  <w:style w:type="character" w:styleId="Hyperlink">
    <w:name w:val="Hyperlink"/>
    <w:basedOn w:val="DefaultParagraphFont"/>
    <w:uiPriority w:val="99"/>
    <w:unhideWhenUsed/>
    <w:rsid w:val="00F73BA5"/>
    <w:rPr>
      <w:color w:val="467886"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73BA5"/>
  </w:style>
  <w:style w:type="paragraph" w:styleId="Header">
    <w:name w:val="header"/>
    <w:basedOn w:val="Normal"/>
    <w:link w:val="HeaderChar"/>
    <w:uiPriority w:val="99"/>
    <w:unhideWhenUsed/>
    <w:rsid w:val="00F73BA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73BA5"/>
  </w:style>
  <w:style w:type="paragraph" w:styleId="Footer">
    <w:name w:val="footer"/>
    <w:basedOn w:val="Normal"/>
    <w:link w:val="FooterChar"/>
    <w:uiPriority w:val="99"/>
    <w:unhideWhenUsed/>
    <w:rsid w:val="00F73BA5"/>
    <w:pPr>
      <w:tabs>
        <w:tab w:val="center" w:pos="4680"/>
        <w:tab w:val="right" w:pos="9360"/>
      </w:tabs>
      <w:spacing w:after="0" w:line="240" w:lineRule="auto"/>
    </w:pPr>
    <w:rPr>
      <w:lang w:val="en-US"/>
    </w:rPr>
  </w:style>
  <w:style w:type="character" w:customStyle="1" w:styleId="UnresolvedMention">
    <w:name w:val="Unresolved Mention"/>
    <w:basedOn w:val="DefaultParagraphFont"/>
    <w:uiPriority w:val="99"/>
    <w:semiHidden/>
    <w:unhideWhenUsed/>
    <w:rsid w:val="00025D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1729306">
      <w:bodyDiv w:val="1"/>
      <w:marLeft w:val="0"/>
      <w:marRight w:val="0"/>
      <w:marTop w:val="0"/>
      <w:marBottom w:val="0"/>
      <w:divBdr>
        <w:top w:val="none" w:sz="0" w:space="0" w:color="auto"/>
        <w:left w:val="none" w:sz="0" w:space="0" w:color="auto"/>
        <w:bottom w:val="none" w:sz="0" w:space="0" w:color="auto"/>
        <w:right w:val="none" w:sz="0" w:space="0" w:color="auto"/>
      </w:divBdr>
    </w:div>
    <w:div w:id="44920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iesa.rks-gov.net/page.aspx?id=3,134,86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esa.rks-gov.net/page.aspx?id=3,134,8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esa.rks-gov.net/page.aspx?id=3,134,86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kiesa.rks-gov.net/page.aspx?id=3,134,86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esa.rks-gov.net/page.aspx?id=3,134,86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a047ac-9b32-4866-a084-f0c20ba5ec78" xsi:nil="true"/>
    <lcf76f155ced4ddcb4097134ff3c332f xmlns="9d47be23-f2b9-46c6-aa2c-85118ba12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9260F045C9E64AA012AA1052AC3CA6" ma:contentTypeVersion="15" ma:contentTypeDescription="Create a new document." ma:contentTypeScope="" ma:versionID="28f7b5fe85ae9d50c9b8087b42179156">
  <xsd:schema xmlns:xsd="http://www.w3.org/2001/XMLSchema" xmlns:xs="http://www.w3.org/2001/XMLSchema" xmlns:p="http://schemas.microsoft.com/office/2006/metadata/properties" xmlns:ns2="9d47be23-f2b9-46c6-aa2c-85118ba12d8b" xmlns:ns3="d1a047ac-9b32-4866-a084-f0c20ba5ec78" targetNamespace="http://schemas.microsoft.com/office/2006/metadata/properties" ma:root="true" ma:fieldsID="c4d5c90262c18a054791409626f99806" ns2:_="" ns3:_="">
    <xsd:import namespace="9d47be23-f2b9-46c6-aa2c-85118ba12d8b"/>
    <xsd:import namespace="d1a047ac-9b32-4866-a084-f0c20ba5e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be23-f2b9-46c6-aa2c-85118ba12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047ac-9b32-4866-a084-f0c20ba5ec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eff882-ad4f-4973-9806-4adf11ffc578}" ma:internalName="TaxCatchAll" ma:showField="CatchAllData" ma:web="d1a047ac-9b32-4866-a084-f0c20ba5e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E1510-7394-429E-80F7-45D5ED4943B3}">
  <ds:schemaRefs>
    <ds:schemaRef ds:uri="http://schemas.microsoft.com/office/2006/metadata/properties"/>
    <ds:schemaRef ds:uri="http://schemas.microsoft.com/office/infopath/2007/PartnerControls"/>
    <ds:schemaRef ds:uri="d1a047ac-9b32-4866-a084-f0c20ba5ec78"/>
    <ds:schemaRef ds:uri="9d47be23-f2b9-46c6-aa2c-85118ba12d8b"/>
  </ds:schemaRefs>
</ds:datastoreItem>
</file>

<file path=customXml/itemProps2.xml><?xml version="1.0" encoding="utf-8"?>
<ds:datastoreItem xmlns:ds="http://schemas.openxmlformats.org/officeDocument/2006/customXml" ds:itemID="{199D216A-B515-4855-A810-C6524B9A348D}">
  <ds:schemaRefs>
    <ds:schemaRef ds:uri="http://schemas.microsoft.com/sharepoint/v3/contenttype/forms"/>
  </ds:schemaRefs>
</ds:datastoreItem>
</file>

<file path=customXml/itemProps3.xml><?xml version="1.0" encoding="utf-8"?>
<ds:datastoreItem xmlns:ds="http://schemas.openxmlformats.org/officeDocument/2006/customXml" ds:itemID="{221E6FF9-88F7-4E3B-9298-EFD6566F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be23-f2b9-46c6-aa2c-85118ba12d8b"/>
    <ds:schemaRef ds:uri="d1a047ac-9b32-4866-a084-f0c20ba5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Links>
    <vt:vector size="30" baseType="variant">
      <vt:variant>
        <vt:i4>1966150</vt:i4>
      </vt:variant>
      <vt:variant>
        <vt:i4>12</vt:i4>
      </vt:variant>
      <vt:variant>
        <vt:i4>0</vt:i4>
      </vt:variant>
      <vt:variant>
        <vt:i4>5</vt:i4>
      </vt:variant>
      <vt:variant>
        <vt:lpwstr>https://kiesa.rks-gov.net/page.aspx?id=1,134,864</vt:lpwstr>
      </vt:variant>
      <vt:variant>
        <vt:lpwstr/>
      </vt:variant>
      <vt:variant>
        <vt:i4>1966150</vt:i4>
      </vt:variant>
      <vt:variant>
        <vt:i4>9</vt:i4>
      </vt:variant>
      <vt:variant>
        <vt:i4>0</vt:i4>
      </vt:variant>
      <vt:variant>
        <vt:i4>5</vt:i4>
      </vt:variant>
      <vt:variant>
        <vt:lpwstr>https://kiesa.rks-gov.net/page.aspx?id=1,134,864</vt:lpwstr>
      </vt:variant>
      <vt:variant>
        <vt:lpwstr/>
      </vt:variant>
      <vt:variant>
        <vt:i4>1966150</vt:i4>
      </vt:variant>
      <vt:variant>
        <vt:i4>6</vt:i4>
      </vt:variant>
      <vt:variant>
        <vt:i4>0</vt:i4>
      </vt:variant>
      <vt:variant>
        <vt:i4>5</vt:i4>
      </vt:variant>
      <vt:variant>
        <vt:lpwstr>https://kiesa.rks-gov.net/page.aspx?id=1,134,864</vt:lpwstr>
      </vt:variant>
      <vt:variant>
        <vt:lpwstr/>
      </vt:variant>
      <vt:variant>
        <vt:i4>1966150</vt:i4>
      </vt:variant>
      <vt:variant>
        <vt:i4>3</vt:i4>
      </vt:variant>
      <vt:variant>
        <vt:i4>0</vt:i4>
      </vt:variant>
      <vt:variant>
        <vt:i4>5</vt:i4>
      </vt:variant>
      <vt:variant>
        <vt:lpwstr>https://kiesa.rks-gov.net/page.aspx?id=1,134,864</vt:lpwstr>
      </vt:variant>
      <vt:variant>
        <vt:lpwstr/>
      </vt:variant>
      <vt:variant>
        <vt:i4>1966150</vt:i4>
      </vt:variant>
      <vt:variant>
        <vt:i4>0</vt:i4>
      </vt:variant>
      <vt:variant>
        <vt:i4>0</vt:i4>
      </vt:variant>
      <vt:variant>
        <vt:i4>5</vt:i4>
      </vt:variant>
      <vt:variant>
        <vt:lpwstr>https://kiesa.rks-gov.net/page.aspx?id=1,134,864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 BERISHAJ</dc:creator>
  <cp:keywords/>
  <dc:description/>
  <cp:lastModifiedBy>Lirie Hasani-Halitaj</cp:lastModifiedBy>
  <cp:revision>7</cp:revision>
  <dcterms:created xsi:type="dcterms:W3CDTF">2024-10-25T12:58:00Z</dcterms:created>
  <dcterms:modified xsi:type="dcterms:W3CDTF">2024-10-25T15:03:00Z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0x0101008A9260F045C9E64AA012AA1052AC3CA6</vt:lpwstr>
  </property>
  <property fmtid="{D5CDD505-2E9C-101B-9397-08002B2CF9AE}" pid="3" name="MediaServiceImageTags">
    <vt:lpwstr/>
  </property>
</Properties>
</file>