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01938" w:rsidRDefault="004165B0" w:rsidP="004165B0">
      <w:pPr>
        <w:spacing w:after="0" w:line="240" w:lineRule="auto"/>
        <w:jc w:val="center"/>
        <w:rPr>
          <w:rFonts w:ascii="Book Antiqua" w:eastAsia="MS Mincho" w:hAnsi="Book Antiqua" w:cs="Book Antiqua"/>
          <w:b/>
          <w:sz w:val="20"/>
          <w:szCs w:val="20"/>
        </w:rPr>
      </w:pPr>
      <w:bookmarkStart w:id="0" w:name="OLE_LINK3"/>
      <w:r>
        <w:rPr>
          <w:noProof/>
        </w:rPr>
        <w:drawing>
          <wp:inline distT="0" distB="0" distL="0" distR="0" wp14:anchorId="57F2720E" wp14:editId="0B0E5AC1">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1123950"/>
                    </a:xfrm>
                    <a:prstGeom prst="rect">
                      <a:avLst/>
                    </a:prstGeom>
                    <a:noFill/>
                  </pic:spPr>
                </pic:pic>
              </a:graphicData>
            </a:graphic>
          </wp:inline>
        </w:drawing>
      </w:r>
    </w:p>
    <w:p w:rsidR="004165B0" w:rsidRDefault="004165B0" w:rsidP="00B375BA">
      <w:pPr>
        <w:spacing w:after="0" w:line="240" w:lineRule="auto"/>
        <w:rPr>
          <w:rFonts w:ascii="Book Antiqua" w:eastAsia="MS Mincho" w:hAnsi="Book Antiqua" w:cs="Book Antiqua"/>
          <w:b/>
          <w:bCs/>
        </w:rPr>
      </w:pPr>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w:t>
      </w:r>
      <w:proofErr w:type="spellStart"/>
      <w:r>
        <w:rPr>
          <w:rFonts w:ascii="Book Antiqua" w:hAnsi="Book Antiqua"/>
          <w:b/>
          <w:bCs/>
          <w:sz w:val="28"/>
          <w:szCs w:val="28"/>
        </w:rPr>
        <w:t>Kosova</w:t>
      </w:r>
      <w:proofErr w:type="spellEnd"/>
      <w:r>
        <w:rPr>
          <w:rFonts w:ascii="Book Antiqua" w:hAnsi="Book Antiqua"/>
          <w:b/>
          <w:bCs/>
          <w:sz w:val="28"/>
          <w:szCs w:val="28"/>
        </w:rPr>
        <w:t>-Republic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C53B69" w:rsidP="000B788D">
            <w:pPr>
              <w:spacing w:after="0" w:line="240" w:lineRule="auto"/>
              <w:jc w:val="center"/>
              <w:rPr>
                <w:rFonts w:ascii="Times New Roman" w:hAnsi="Times New Roman"/>
                <w:color w:val="000000"/>
              </w:rPr>
            </w:pPr>
            <w:r>
              <w:rPr>
                <w:rFonts w:ascii="Times New Roman" w:hAnsi="Times New Roman"/>
                <w:color w:val="000000"/>
              </w:rPr>
              <w:t>1.7</w:t>
            </w:r>
            <w:r w:rsidR="00031440">
              <w:rPr>
                <w:rFonts w:ascii="Times New Roman" w:hAnsi="Times New Roman"/>
                <w:color w:val="000000"/>
              </w:rPr>
              <w:t>2</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B852E8" w:rsidP="000B788D">
            <w:pPr>
              <w:spacing w:after="0" w:line="240" w:lineRule="auto"/>
              <w:jc w:val="center"/>
              <w:rPr>
                <w:rFonts w:ascii="Times New Roman" w:hAnsi="Times New Roman"/>
                <w:color w:val="000000"/>
              </w:rPr>
            </w:pPr>
            <w:r>
              <w:rPr>
                <w:rFonts w:ascii="Times New Roman" w:hAnsi="Times New Roman"/>
                <w:color w:val="000000"/>
              </w:rPr>
              <w:t>1.4</w:t>
            </w:r>
            <w:r w:rsidR="002529FB">
              <w:rPr>
                <w:rFonts w:ascii="Times New Roman" w:hAnsi="Times New Roman"/>
                <w:color w:val="000000"/>
              </w:rPr>
              <w:t>3</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w:t>
            </w:r>
            <w:proofErr w:type="gramStart"/>
            <w:r w:rsidRPr="00F1081F">
              <w:rPr>
                <w:rFonts w:ascii="Times New Roman" w:hAnsi="Times New Roman"/>
                <w:sz w:val="28"/>
                <w:szCs w:val="28"/>
              </w:rPr>
              <w:t xml:space="preserve">Gas </w:t>
            </w:r>
            <w:r>
              <w:rPr>
                <w:rFonts w:ascii="Times New Roman" w:hAnsi="Times New Roman"/>
                <w:sz w:val="28"/>
                <w:szCs w:val="28"/>
              </w:rPr>
              <w:t xml:space="preserve"> </w:t>
            </w:r>
            <w:r w:rsidRPr="00F1081F">
              <w:rPr>
                <w:rFonts w:ascii="Times New Roman" w:hAnsi="Times New Roman"/>
                <w:sz w:val="28"/>
                <w:szCs w:val="28"/>
              </w:rPr>
              <w:t>product</w:t>
            </w:r>
            <w:proofErr w:type="gramEnd"/>
            <w:r w:rsidRPr="00F1081F">
              <w:rPr>
                <w:rFonts w:ascii="Times New Roman" w:hAnsi="Times New Roman"/>
                <w:sz w:val="28"/>
                <w:szCs w:val="28"/>
              </w:rPr>
              <w:t xml:space="preserve">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837A6B" w:rsidP="000B788D">
            <w:pPr>
              <w:spacing w:after="0" w:line="240" w:lineRule="auto"/>
              <w:jc w:val="center"/>
              <w:rPr>
                <w:rFonts w:ascii="Times New Roman" w:hAnsi="Times New Roman"/>
                <w:color w:val="000000"/>
              </w:rPr>
            </w:pPr>
            <w:r>
              <w:rPr>
                <w:rFonts w:ascii="Times New Roman" w:hAnsi="Times New Roman"/>
                <w:color w:val="000000"/>
              </w:rPr>
              <w:t>0.7</w:t>
            </w:r>
            <w:r w:rsidR="002529FB">
              <w:rPr>
                <w:rFonts w:ascii="Times New Roman" w:hAnsi="Times New Roman"/>
                <w:color w:val="000000"/>
              </w:rPr>
              <w:t>1</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B852E8">
        <w:rPr>
          <w:rFonts w:ascii="Times New Roman" w:hAnsi="Times New Roman" w:cs="Times New Roman"/>
          <w:sz w:val="28"/>
          <w:szCs w:val="28"/>
          <w:lang w:val="sq-AL"/>
        </w:rPr>
        <w:t>0</w:t>
      </w:r>
      <w:r w:rsidR="002529FB">
        <w:rPr>
          <w:rFonts w:ascii="Times New Roman" w:hAnsi="Times New Roman" w:cs="Times New Roman"/>
          <w:sz w:val="28"/>
          <w:szCs w:val="28"/>
          <w:lang w:val="sq-AL"/>
        </w:rPr>
        <w:t>2</w:t>
      </w:r>
      <w:r w:rsidR="00B852E8">
        <w:rPr>
          <w:rFonts w:ascii="Times New Roman" w:hAnsi="Times New Roman" w:cs="Times New Roman"/>
          <w:sz w:val="28"/>
          <w:szCs w:val="28"/>
          <w:lang w:val="sq-AL"/>
        </w:rPr>
        <w:t>/11</w:t>
      </w:r>
      <w:r w:rsidR="002B2F09" w:rsidRPr="00C82D8B">
        <w:rPr>
          <w:rFonts w:ascii="Times New Roman" w:hAnsi="Times New Roman" w:cs="Times New Roman"/>
          <w:sz w:val="28"/>
          <w:szCs w:val="28"/>
          <w:lang w:val="sq-AL"/>
        </w:rPr>
        <w:t xml:space="preserve">/2022 </w:t>
      </w:r>
      <w:r w:rsidRPr="00F1081F">
        <w:rPr>
          <w:rFonts w:ascii="Times New Roman" w:hAnsi="Times New Roman"/>
          <w:sz w:val="28"/>
          <w:szCs w:val="28"/>
        </w:rPr>
        <w:t>starting fro</w:t>
      </w:r>
      <w:r w:rsidR="00B852E8">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16cid:durableId="993142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938"/>
    <w:rsid w:val="000017A7"/>
    <w:rsid w:val="00007C10"/>
    <w:rsid w:val="00023AE4"/>
    <w:rsid w:val="00031440"/>
    <w:rsid w:val="00062023"/>
    <w:rsid w:val="00095332"/>
    <w:rsid w:val="000B165D"/>
    <w:rsid w:val="000C014C"/>
    <w:rsid w:val="000C402C"/>
    <w:rsid w:val="000F510C"/>
    <w:rsid w:val="00151F02"/>
    <w:rsid w:val="00154698"/>
    <w:rsid w:val="0016049D"/>
    <w:rsid w:val="001659C5"/>
    <w:rsid w:val="001C320C"/>
    <w:rsid w:val="001F31C3"/>
    <w:rsid w:val="00201E01"/>
    <w:rsid w:val="002529FB"/>
    <w:rsid w:val="002B2F09"/>
    <w:rsid w:val="002C7D61"/>
    <w:rsid w:val="002D7E4A"/>
    <w:rsid w:val="002E5D3E"/>
    <w:rsid w:val="003053F2"/>
    <w:rsid w:val="0031746F"/>
    <w:rsid w:val="00335FBB"/>
    <w:rsid w:val="00350F34"/>
    <w:rsid w:val="00363658"/>
    <w:rsid w:val="0036685B"/>
    <w:rsid w:val="003A06DA"/>
    <w:rsid w:val="003A2830"/>
    <w:rsid w:val="003C4049"/>
    <w:rsid w:val="003C5BA4"/>
    <w:rsid w:val="003F4FAC"/>
    <w:rsid w:val="003F52C5"/>
    <w:rsid w:val="004165B0"/>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15F24"/>
    <w:rsid w:val="00653D7F"/>
    <w:rsid w:val="006E6C72"/>
    <w:rsid w:val="007219C5"/>
    <w:rsid w:val="007346D6"/>
    <w:rsid w:val="00737B1F"/>
    <w:rsid w:val="00743E2E"/>
    <w:rsid w:val="007813A2"/>
    <w:rsid w:val="007C62C1"/>
    <w:rsid w:val="007D6AAF"/>
    <w:rsid w:val="007E23CB"/>
    <w:rsid w:val="0080663B"/>
    <w:rsid w:val="00811FF8"/>
    <w:rsid w:val="00813C33"/>
    <w:rsid w:val="00813DBD"/>
    <w:rsid w:val="00837A6B"/>
    <w:rsid w:val="00853E51"/>
    <w:rsid w:val="00874236"/>
    <w:rsid w:val="0089008E"/>
    <w:rsid w:val="008A089D"/>
    <w:rsid w:val="008A7277"/>
    <w:rsid w:val="009023D5"/>
    <w:rsid w:val="00904F27"/>
    <w:rsid w:val="0090527F"/>
    <w:rsid w:val="00936AB4"/>
    <w:rsid w:val="009435FA"/>
    <w:rsid w:val="00972FBC"/>
    <w:rsid w:val="009F760E"/>
    <w:rsid w:val="00A216C9"/>
    <w:rsid w:val="00A37F23"/>
    <w:rsid w:val="00A42D60"/>
    <w:rsid w:val="00A52C6E"/>
    <w:rsid w:val="00A54C98"/>
    <w:rsid w:val="00A647EA"/>
    <w:rsid w:val="00A902A2"/>
    <w:rsid w:val="00AB2605"/>
    <w:rsid w:val="00AB33B8"/>
    <w:rsid w:val="00B30F80"/>
    <w:rsid w:val="00B375BA"/>
    <w:rsid w:val="00B73FD7"/>
    <w:rsid w:val="00B77CC2"/>
    <w:rsid w:val="00B852E8"/>
    <w:rsid w:val="00B86EB4"/>
    <w:rsid w:val="00BA01EB"/>
    <w:rsid w:val="00BC1BB9"/>
    <w:rsid w:val="00BC4CDA"/>
    <w:rsid w:val="00BD71FD"/>
    <w:rsid w:val="00BE6775"/>
    <w:rsid w:val="00BF4F71"/>
    <w:rsid w:val="00C0009B"/>
    <w:rsid w:val="00C00939"/>
    <w:rsid w:val="00C273A3"/>
    <w:rsid w:val="00C53B69"/>
    <w:rsid w:val="00C80493"/>
    <w:rsid w:val="00C93BA8"/>
    <w:rsid w:val="00D25ADF"/>
    <w:rsid w:val="00D473DF"/>
    <w:rsid w:val="00D60B62"/>
    <w:rsid w:val="00D724CE"/>
    <w:rsid w:val="00D76875"/>
    <w:rsid w:val="00DC7D34"/>
    <w:rsid w:val="00DD3681"/>
    <w:rsid w:val="00DF06BC"/>
    <w:rsid w:val="00DF6925"/>
    <w:rsid w:val="00E01938"/>
    <w:rsid w:val="00E223A6"/>
    <w:rsid w:val="00E56E08"/>
    <w:rsid w:val="00E6672E"/>
    <w:rsid w:val="00EA4934"/>
    <w:rsid w:val="00EB55DB"/>
    <w:rsid w:val="00EB7603"/>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0526D"/>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Eljesa Beqiri</cp:lastModifiedBy>
  <cp:revision>84</cp:revision>
  <cp:lastPrinted>2022-06-23T10:51:00Z</cp:lastPrinted>
  <dcterms:created xsi:type="dcterms:W3CDTF">2022-06-24T13:42:00Z</dcterms:created>
  <dcterms:modified xsi:type="dcterms:W3CDTF">2022-11-01T21:09:00Z</dcterms:modified>
</cp:coreProperties>
</file>