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C74D27" w:rsidTr="00172985">
        <w:tc>
          <w:tcPr>
            <w:tcW w:w="4260" w:type="dxa"/>
            <w:vAlign w:val="center"/>
          </w:tcPr>
          <w:p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</w:rPr>
              <w:drawing>
                <wp:inline distT="0" distB="0" distL="0" distR="0" wp14:anchorId="37055580" wp14:editId="62ADD87A">
                  <wp:extent cx="885825" cy="98152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98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="00591270" w:rsidRPr="00C74D27" w:rsidRDefault="00591270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</w:rPr>
              <w:drawing>
                <wp:inline distT="0" distB="0" distL="0" distR="0" wp14:anchorId="4256BD60" wp14:editId="14ABEBC9">
                  <wp:extent cx="2304288" cy="448056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IESA shqip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270" w:rsidRPr="00C74D27" w:rsidRDefault="00591270" w:rsidP="00591270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 of Kosovo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Qeveria –Vlada-Government </w:t>
      </w:r>
    </w:p>
    <w:p w:rsidR="00591270" w:rsidRPr="00C74D27" w:rsidRDefault="00591270" w:rsidP="00591270">
      <w:pPr>
        <w:ind w:left="-576" w:right="-720"/>
        <w:rPr>
          <w:rFonts w:ascii="Book Antiqua" w:eastAsia="MS Mincho" w:hAnsi="Book Antiqua" w:cs="Book Antiqua"/>
          <w:i/>
          <w:iCs/>
        </w:rPr>
      </w:pPr>
      <w:r w:rsidRPr="00C74D27">
        <w:rPr>
          <w:rFonts w:ascii="Book Antiqua" w:eastAsia="MS Mincho" w:hAnsi="Book Antiqua" w:cs="Book Antiqua"/>
          <w:i/>
          <w:iCs/>
        </w:rPr>
        <w:t>Ministria e Tregtisë dhe Industrisë-Mini</w:t>
      </w:r>
      <w:r>
        <w:rPr>
          <w:rFonts w:ascii="Book Antiqua" w:eastAsia="MS Mincho" w:hAnsi="Book Antiqua" w:cs="Book Antiqua"/>
          <w:i/>
          <w:iCs/>
        </w:rPr>
        <w:t>starstvo Trgovine i Industrije-</w:t>
      </w:r>
      <w:r w:rsidRPr="00C74D27">
        <w:rPr>
          <w:rFonts w:ascii="Book Antiqua" w:eastAsia="MS Mincho" w:hAnsi="Book Antiqua" w:cs="Book Antiqua"/>
          <w:i/>
          <w:iCs/>
        </w:rPr>
        <w:t>Ministry of Trade and Industry</w:t>
      </w:r>
    </w:p>
    <w:p w:rsidR="00591270" w:rsidRPr="00C74D27" w:rsidRDefault="00591270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Agjencia për Investime dhe Përkrahjen e Ndërmarrjeve në Kosovë (KIESA)</w:t>
      </w:r>
    </w:p>
    <w:p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Agencija za Investicije i Podršku Preduzeča na Kosovu (KIESA)</w:t>
      </w:r>
    </w:p>
    <w:p w:rsidR="00591270" w:rsidRPr="00C74D27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r w:rsidRPr="00C74D27">
        <w:rPr>
          <w:color w:val="000000"/>
        </w:rPr>
        <w:t>Kosovo Investment and Enterprise Support Agency (KIESA)</w:t>
      </w:r>
    </w:p>
    <w:p w:rsidR="00591270" w:rsidRDefault="00591270" w:rsidP="00DD6A31">
      <w:pPr>
        <w:ind w:right="26"/>
        <w:jc w:val="both"/>
        <w:rPr>
          <w:rFonts w:eastAsia="MS Mincho"/>
        </w:rPr>
      </w:pPr>
    </w:p>
    <w:p w:rsidR="00D34F4C" w:rsidRDefault="00D34F4C" w:rsidP="00DD6A31">
      <w:pPr>
        <w:ind w:right="26"/>
        <w:jc w:val="both"/>
        <w:rPr>
          <w:rFonts w:eastAsia="MS Mincho"/>
        </w:rPr>
      </w:pPr>
    </w:p>
    <w:p w:rsidR="008F3F13" w:rsidRDefault="00704140" w:rsidP="00704140">
      <w:pPr>
        <w:ind w:right="26"/>
        <w:jc w:val="center"/>
        <w:rPr>
          <w:rFonts w:eastAsia="MS Mincho"/>
        </w:rPr>
      </w:pPr>
      <w:r w:rsidRPr="00704140">
        <w:rPr>
          <w:b/>
          <w:sz w:val="28"/>
        </w:rPr>
        <w:t>OBAVEŠTAVANJE</w:t>
      </w:r>
    </w:p>
    <w:p w:rsidR="00D34F4C" w:rsidRPr="008F3F13" w:rsidRDefault="00D34F4C" w:rsidP="008F3F13">
      <w:pPr>
        <w:ind w:right="26"/>
        <w:jc w:val="both"/>
        <w:rPr>
          <w:rFonts w:eastAsia="MS Mincho"/>
        </w:rPr>
      </w:pPr>
    </w:p>
    <w:p w:rsidR="00704140" w:rsidRDefault="00704140" w:rsidP="008F3F13">
      <w:pPr>
        <w:ind w:right="26"/>
        <w:jc w:val="both"/>
        <w:rPr>
          <w:rFonts w:eastAsia="MS Mincho"/>
        </w:rPr>
      </w:pPr>
      <w:r w:rsidRPr="00704140">
        <w:rPr>
          <w:rFonts w:eastAsia="MS Mincho"/>
        </w:rPr>
        <w:t xml:space="preserve">Na osnovu javnog poziva za subvencionisanje  projekata </w:t>
      </w:r>
      <w:r w:rsidR="0092680F">
        <w:rPr>
          <w:rFonts w:eastAsia="MS Mincho"/>
        </w:rPr>
        <w:t xml:space="preserve">subjekata </w:t>
      </w:r>
      <w:r w:rsidRPr="00704140">
        <w:rPr>
          <w:rFonts w:eastAsia="MS Mincho"/>
        </w:rPr>
        <w:t xml:space="preserve">koji doprinose promociji izvoza i promociji turističkih potencijala </w:t>
      </w:r>
      <w:r>
        <w:rPr>
          <w:rFonts w:eastAsia="MS Mincho"/>
        </w:rPr>
        <w:t>Kosova objavljenog 26.07.2017 g</w:t>
      </w:r>
      <w:r w:rsidRPr="00704140">
        <w:rPr>
          <w:rFonts w:eastAsia="MS Mincho"/>
        </w:rPr>
        <w:t>odi</w:t>
      </w:r>
      <w:r>
        <w:rPr>
          <w:rFonts w:eastAsia="MS Mincho"/>
        </w:rPr>
        <w:t>ne, na osnovu Administrativnog U</w:t>
      </w:r>
      <w:r w:rsidRPr="00704140">
        <w:rPr>
          <w:rFonts w:eastAsia="MS Mincho"/>
        </w:rPr>
        <w:t xml:space="preserve">putstva MTI br. 03/2016 o </w:t>
      </w:r>
      <w:r w:rsidR="0092680F">
        <w:rPr>
          <w:rFonts w:eastAsia="MS Mincho"/>
        </w:rPr>
        <w:t>Dodeli Finansijskih S</w:t>
      </w:r>
      <w:r w:rsidRPr="00704140">
        <w:rPr>
          <w:rFonts w:eastAsia="MS Mincho"/>
        </w:rPr>
        <w:t xml:space="preserve">redstava </w:t>
      </w:r>
      <w:r w:rsidR="0092680F" w:rsidRPr="0092680F">
        <w:rPr>
          <w:rFonts w:eastAsia="MS Mincho"/>
        </w:rPr>
        <w:t>iz Ekonomske Kategorije Subvencija i Transfera ("AU MTI 03/2016") komisija za razmatranje primljenih prijava je pregledala sve prijave i objavljuje preliminarnu listu korisnika za subvencije i transfere.</w:t>
      </w:r>
    </w:p>
    <w:p w:rsidR="0092680F" w:rsidRDefault="0092680F" w:rsidP="008F3F13">
      <w:pPr>
        <w:ind w:right="26"/>
        <w:jc w:val="both"/>
        <w:rPr>
          <w:rFonts w:eastAsia="MS Mincho"/>
        </w:rPr>
      </w:pPr>
    </w:p>
    <w:p w:rsidR="00D34F4C" w:rsidRDefault="0092680F" w:rsidP="008F3F13">
      <w:pPr>
        <w:ind w:right="26"/>
        <w:jc w:val="both"/>
        <w:rPr>
          <w:rFonts w:eastAsia="MS Mincho"/>
        </w:rPr>
      </w:pPr>
      <w:r w:rsidRPr="0092680F">
        <w:rPr>
          <w:rFonts w:eastAsia="MS Mincho"/>
        </w:rPr>
        <w:t>Preliminarna lista korisnika za subvencije i transfere</w:t>
      </w:r>
      <w:r w:rsidR="00D34F4C">
        <w:rPr>
          <w:rFonts w:eastAsia="MS Mincho"/>
        </w:rPr>
        <w:t>:</w:t>
      </w:r>
    </w:p>
    <w:p w:rsidR="00D34F4C" w:rsidRDefault="002C6CB5" w:rsidP="00D34F4C">
      <w:pPr>
        <w:pStyle w:val="ListParagraph"/>
        <w:numPr>
          <w:ilvl w:val="0"/>
          <w:numId w:val="5"/>
        </w:numPr>
        <w:ind w:right="26"/>
        <w:jc w:val="both"/>
        <w:rPr>
          <w:rFonts w:eastAsia="MS Mincho"/>
        </w:rPr>
      </w:pPr>
      <w:r>
        <w:rPr>
          <w:rFonts w:eastAsia="MS Mincho"/>
        </w:rPr>
        <w:t> Privredna K</w:t>
      </w:r>
      <w:r w:rsidRPr="002C6CB5">
        <w:rPr>
          <w:rFonts w:eastAsia="MS Mincho"/>
        </w:rPr>
        <w:t xml:space="preserve">omora Kosova </w:t>
      </w:r>
      <w:r w:rsidR="00D34F4C">
        <w:rPr>
          <w:rFonts w:eastAsia="MS Mincho"/>
        </w:rPr>
        <w:t>“</w:t>
      </w:r>
      <w:r>
        <w:rPr>
          <w:rFonts w:eastAsia="MS Mincho"/>
        </w:rPr>
        <w:t>PK</w:t>
      </w:r>
      <w:r w:rsidR="00535C8C">
        <w:rPr>
          <w:rFonts w:eastAsia="MS Mincho"/>
        </w:rPr>
        <w:t>K</w:t>
      </w:r>
      <w:r w:rsidR="00D34F4C">
        <w:rPr>
          <w:rFonts w:eastAsia="MS Mincho"/>
        </w:rPr>
        <w:t>”</w:t>
      </w:r>
    </w:p>
    <w:p w:rsidR="00D34F4C" w:rsidRPr="00D34F4C" w:rsidRDefault="00535C8C" w:rsidP="00D34F4C">
      <w:pPr>
        <w:pStyle w:val="ListParagraph"/>
        <w:numPr>
          <w:ilvl w:val="0"/>
          <w:numId w:val="5"/>
        </w:numPr>
        <w:ind w:right="26"/>
        <w:jc w:val="both"/>
        <w:rPr>
          <w:rFonts w:eastAsia="MS Mincho"/>
        </w:rPr>
      </w:pPr>
      <w:r>
        <w:rPr>
          <w:rFonts w:eastAsia="MS Mincho"/>
        </w:rPr>
        <w:t>Congres&amp; Event Organisation “CEO”</w:t>
      </w:r>
      <w:r w:rsidR="00D34F4C">
        <w:rPr>
          <w:rFonts w:eastAsia="MS Mincho"/>
        </w:rPr>
        <w:t>.</w:t>
      </w:r>
    </w:p>
    <w:p w:rsidR="00D34F4C" w:rsidRDefault="00D34F4C" w:rsidP="008F3F13">
      <w:pPr>
        <w:autoSpaceDE w:val="0"/>
        <w:autoSpaceDN w:val="0"/>
        <w:adjustRightInd w:val="0"/>
        <w:rPr>
          <w:rFonts w:ascii="Times" w:eastAsiaTheme="minorHAnsi" w:hAnsi="Times" w:cs="Times"/>
          <w:noProof w:val="0"/>
        </w:rPr>
      </w:pPr>
    </w:p>
    <w:p w:rsidR="008F3F13" w:rsidRPr="002E081B" w:rsidRDefault="002C6CB5" w:rsidP="002E081B">
      <w:pPr>
        <w:ind w:right="26"/>
        <w:jc w:val="both"/>
        <w:rPr>
          <w:rFonts w:eastAsia="MS Mincho"/>
        </w:rPr>
      </w:pPr>
      <w:r>
        <w:rPr>
          <w:rFonts w:eastAsia="MS Mincho"/>
        </w:rPr>
        <w:t>Subjekti</w:t>
      </w:r>
      <w:r w:rsidRPr="002C6CB5">
        <w:rPr>
          <w:rFonts w:eastAsia="MS Mincho"/>
        </w:rPr>
        <w:t xml:space="preserve"> koji su se prijavili i nisu uključeni u listu korisnika za subvencije i transf</w:t>
      </w:r>
      <w:r>
        <w:rPr>
          <w:rFonts w:eastAsia="MS Mincho"/>
        </w:rPr>
        <w:t>ere mogu se žaliti Komisiji za Razmatranje Ž</w:t>
      </w:r>
      <w:r w:rsidRPr="002C6CB5">
        <w:rPr>
          <w:rFonts w:eastAsia="MS Mincho"/>
        </w:rPr>
        <w:t xml:space="preserve">albi u roku od 15 (petnaest) dana nakon objavljivanja preliminarne liste prema Administrativnom </w:t>
      </w:r>
      <w:r>
        <w:rPr>
          <w:rFonts w:eastAsia="MS Mincho"/>
        </w:rPr>
        <w:t>U</w:t>
      </w:r>
      <w:r w:rsidRPr="002C6CB5">
        <w:rPr>
          <w:rFonts w:eastAsia="MS Mincho"/>
        </w:rPr>
        <w:t xml:space="preserve">putstvu (MTI) br. 03/2016 </w:t>
      </w:r>
      <w:r w:rsidRPr="00704140">
        <w:rPr>
          <w:rFonts w:eastAsia="MS Mincho"/>
        </w:rPr>
        <w:t xml:space="preserve">o </w:t>
      </w:r>
      <w:r>
        <w:rPr>
          <w:rFonts w:eastAsia="MS Mincho"/>
        </w:rPr>
        <w:t>Dodeli Finansijskih S</w:t>
      </w:r>
      <w:r w:rsidRPr="00704140">
        <w:rPr>
          <w:rFonts w:eastAsia="MS Mincho"/>
        </w:rPr>
        <w:t xml:space="preserve">redstava </w:t>
      </w:r>
      <w:r w:rsidRPr="0092680F">
        <w:rPr>
          <w:rFonts w:eastAsia="MS Mincho"/>
        </w:rPr>
        <w:t>iz Ekonomske Kategorije Subvencija i Transfera</w:t>
      </w:r>
      <w:bookmarkStart w:id="0" w:name="_GoBack"/>
      <w:bookmarkEnd w:id="0"/>
      <w:r w:rsidR="008F3F13" w:rsidRPr="002E081B">
        <w:rPr>
          <w:rFonts w:eastAsia="MS Mincho"/>
        </w:rPr>
        <w:t>.</w:t>
      </w:r>
      <w:r w:rsidR="00D34F4C" w:rsidRPr="002E081B">
        <w:rPr>
          <w:rFonts w:eastAsia="MS Mincho"/>
        </w:rPr>
        <w:t xml:space="preserve"> </w:t>
      </w:r>
    </w:p>
    <w:sectPr w:rsidR="008F3F13" w:rsidRPr="002E08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6B663C"/>
    <w:multiLevelType w:val="hybridMultilevel"/>
    <w:tmpl w:val="12CA1A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71083"/>
    <w:rsid w:val="00097B9F"/>
    <w:rsid w:val="000B572D"/>
    <w:rsid w:val="000F0A76"/>
    <w:rsid w:val="0014220E"/>
    <w:rsid w:val="00187790"/>
    <w:rsid w:val="00187D2B"/>
    <w:rsid w:val="0019209D"/>
    <w:rsid w:val="001B35C6"/>
    <w:rsid w:val="001B56D5"/>
    <w:rsid w:val="001E5544"/>
    <w:rsid w:val="00281627"/>
    <w:rsid w:val="002A55C9"/>
    <w:rsid w:val="002B5A1D"/>
    <w:rsid w:val="002C6CB5"/>
    <w:rsid w:val="002D447C"/>
    <w:rsid w:val="002E081B"/>
    <w:rsid w:val="003142E5"/>
    <w:rsid w:val="00322A18"/>
    <w:rsid w:val="00346876"/>
    <w:rsid w:val="003905F3"/>
    <w:rsid w:val="003D75E5"/>
    <w:rsid w:val="003F7876"/>
    <w:rsid w:val="0040407A"/>
    <w:rsid w:val="00433DF6"/>
    <w:rsid w:val="00456B8E"/>
    <w:rsid w:val="00461C50"/>
    <w:rsid w:val="00473E4C"/>
    <w:rsid w:val="00513D29"/>
    <w:rsid w:val="00535C8C"/>
    <w:rsid w:val="00537CBC"/>
    <w:rsid w:val="00591270"/>
    <w:rsid w:val="00593A4A"/>
    <w:rsid w:val="005A025C"/>
    <w:rsid w:val="005B4186"/>
    <w:rsid w:val="005D194F"/>
    <w:rsid w:val="00650943"/>
    <w:rsid w:val="006B6542"/>
    <w:rsid w:val="006F053E"/>
    <w:rsid w:val="00704140"/>
    <w:rsid w:val="00724EF9"/>
    <w:rsid w:val="007540D9"/>
    <w:rsid w:val="00802688"/>
    <w:rsid w:val="008629F2"/>
    <w:rsid w:val="008E51E3"/>
    <w:rsid w:val="008F3F13"/>
    <w:rsid w:val="00910DA9"/>
    <w:rsid w:val="0092680F"/>
    <w:rsid w:val="0094709F"/>
    <w:rsid w:val="009573A8"/>
    <w:rsid w:val="00966761"/>
    <w:rsid w:val="00975197"/>
    <w:rsid w:val="00975FD0"/>
    <w:rsid w:val="009A5122"/>
    <w:rsid w:val="009B314E"/>
    <w:rsid w:val="00A136E4"/>
    <w:rsid w:val="00A645EC"/>
    <w:rsid w:val="00A677D1"/>
    <w:rsid w:val="00AB3B88"/>
    <w:rsid w:val="00AE0342"/>
    <w:rsid w:val="00AE4DC6"/>
    <w:rsid w:val="00B72285"/>
    <w:rsid w:val="00BC1F34"/>
    <w:rsid w:val="00C154C6"/>
    <w:rsid w:val="00C16E28"/>
    <w:rsid w:val="00C859DE"/>
    <w:rsid w:val="00CF5189"/>
    <w:rsid w:val="00D12F82"/>
    <w:rsid w:val="00D34F4C"/>
    <w:rsid w:val="00DD6A31"/>
    <w:rsid w:val="00E76455"/>
    <w:rsid w:val="00E876D0"/>
    <w:rsid w:val="00EC40BB"/>
    <w:rsid w:val="00EE01E9"/>
    <w:rsid w:val="00EF7398"/>
    <w:rsid w:val="00F1489F"/>
    <w:rsid w:val="00F149A5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6759-8C1A-4D7F-AA85-6567B2D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19DD-7CD4-46E1-B9C2-D2F6B144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Teuta Behluli</cp:lastModifiedBy>
  <cp:revision>3</cp:revision>
  <cp:lastPrinted>2017-04-03T07:44:00Z</cp:lastPrinted>
  <dcterms:created xsi:type="dcterms:W3CDTF">2017-09-06T12:38:00Z</dcterms:created>
  <dcterms:modified xsi:type="dcterms:W3CDTF">2017-09-06T13:10:00Z</dcterms:modified>
</cp:coreProperties>
</file>