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D9D34" w14:textId="77777777" w:rsidR="007223E6" w:rsidRPr="00F54C2F" w:rsidRDefault="00864728">
      <w:pPr>
        <w:rPr>
          <w:lang w:val="sr-Latn-CS"/>
        </w:rPr>
      </w:pPr>
      <w:r>
        <w:rPr>
          <w:lang w:val="sr-Latn-CS"/>
        </w:rPr>
        <w:t xml:space="preserve"> </w:t>
      </w:r>
    </w:p>
    <w:p w14:paraId="07D4A2CB" w14:textId="77777777" w:rsidR="007223E6" w:rsidRPr="00F54C2F" w:rsidRDefault="004D5692">
      <w:pPr>
        <w:tabs>
          <w:tab w:val="left" w:pos="2556"/>
        </w:tabs>
        <w:jc w:val="center"/>
        <w:rPr>
          <w:rFonts w:ascii="Book Antiqua" w:hAnsi="Book Antiqua" w:cs="Book Antiqua"/>
          <w:b/>
          <w:bCs/>
          <w:color w:val="4472C4"/>
          <w:sz w:val="24"/>
          <w:szCs w:val="24"/>
          <w:lang w:val="sr-Latn-CS"/>
        </w:rPr>
      </w:pPr>
      <w:r>
        <w:rPr>
          <w:rFonts w:ascii="Book Antiqua" w:hAnsi="Book Antiqua" w:cs="Book Antiqua"/>
          <w:b/>
          <w:bCs/>
          <w:color w:val="4472C4"/>
          <w:sz w:val="24"/>
          <w:szCs w:val="24"/>
          <w:lang w:val="sr-Latn-CS"/>
        </w:rPr>
        <w:t>OGLAS</w:t>
      </w:r>
    </w:p>
    <w:p w14:paraId="0376037E" w14:textId="34BEBD33" w:rsidR="007223E6" w:rsidRPr="00F54C2F" w:rsidRDefault="00B154B1">
      <w:pPr>
        <w:jc w:val="both"/>
        <w:rPr>
          <w:rFonts w:ascii="Book Antiqua" w:hAnsi="Book Antiqua" w:cs="Book Antiqua"/>
          <w:sz w:val="24"/>
          <w:szCs w:val="24"/>
          <w:lang w:val="sr-Latn-CS"/>
        </w:rPr>
      </w:pPr>
      <w:r w:rsidRPr="00F54C2F">
        <w:rPr>
          <w:rFonts w:ascii="Book Antiqua" w:hAnsi="Book Antiqua" w:cs="Book Antiqua"/>
          <w:sz w:val="24"/>
          <w:szCs w:val="24"/>
          <w:lang w:val="sr-Latn-CS"/>
        </w:rPr>
        <w:t>U cilju promovi</w:t>
      </w:r>
      <w:r w:rsidR="00AC3DAB">
        <w:rPr>
          <w:rFonts w:ascii="Book Antiqua" w:hAnsi="Book Antiqua" w:cs="Book Antiqua"/>
          <w:sz w:val="24"/>
          <w:szCs w:val="24"/>
          <w:lang w:val="sr-Latn-CS"/>
        </w:rPr>
        <w:t xml:space="preserve">sanja potencijala </w:t>
      </w:r>
      <w:r w:rsidR="00CD5E9A">
        <w:rPr>
          <w:rFonts w:ascii="Book Antiqua" w:hAnsi="Book Antiqua" w:cs="Book Antiqua"/>
          <w:sz w:val="24"/>
          <w:szCs w:val="24"/>
          <w:lang w:val="sr-Latn-CS"/>
        </w:rPr>
        <w:t>produz</w:t>
      </w:r>
      <w:r w:rsidR="00CD5E9A" w:rsidRPr="008E001E">
        <w:rPr>
          <w:rFonts w:ascii="Book Antiqua" w:hAnsi="Book Antiqua" w:cs="Book Antiqua"/>
          <w:sz w:val="24"/>
          <w:szCs w:val="24"/>
          <w:lang w:val="sr-Latn-CS"/>
        </w:rPr>
        <w:t>e</w:t>
      </w:r>
      <w:r w:rsidR="0078585C" w:rsidRPr="008E001E">
        <w:rPr>
          <w:rFonts w:ascii="Book Antiqua" w:hAnsi="Book Antiqua" w:cs="Book Antiqua"/>
          <w:lang w:val="sr-Latn-CS"/>
        </w:rPr>
        <w:t>ć</w:t>
      </w:r>
      <w:r w:rsidR="00CD5E9A" w:rsidRPr="008E001E">
        <w:rPr>
          <w:rFonts w:ascii="Book Antiqua" w:hAnsi="Book Antiqua" w:cs="Book Antiqua"/>
          <w:sz w:val="24"/>
          <w:szCs w:val="24"/>
          <w:lang w:val="sr-Latn-CS"/>
        </w:rPr>
        <w:t>a</w:t>
      </w:r>
      <w:r w:rsidR="00CD5E9A">
        <w:rPr>
          <w:rFonts w:ascii="Book Antiqua" w:hAnsi="Book Antiqua" w:cs="Book Antiqua"/>
          <w:sz w:val="24"/>
          <w:szCs w:val="24"/>
          <w:lang w:val="sr-Latn-CS"/>
        </w:rPr>
        <w:t xml:space="preserve"> Start-Up i </w:t>
      </w:r>
      <w:r w:rsidR="00AC3DAB">
        <w:rPr>
          <w:rFonts w:ascii="Book Antiqua" w:hAnsi="Book Antiqua" w:cs="Book Antiqua"/>
          <w:sz w:val="24"/>
          <w:szCs w:val="24"/>
          <w:lang w:val="sr-Latn-CS"/>
        </w:rPr>
        <w:t>kompanija za informacionu i komunikacionu tehnologij</w:t>
      </w:r>
      <w:r w:rsidR="00641BEB">
        <w:rPr>
          <w:rFonts w:ascii="Book Antiqua" w:hAnsi="Book Antiqua" w:cs="Book Antiqua"/>
          <w:sz w:val="24"/>
          <w:szCs w:val="24"/>
          <w:lang w:val="sr-Latn-CS"/>
        </w:rPr>
        <w:t>u</w:t>
      </w:r>
      <w:r w:rsidRPr="00F54C2F">
        <w:rPr>
          <w:rFonts w:ascii="Book Antiqua" w:hAnsi="Book Antiqua" w:cs="Book Antiqua"/>
          <w:sz w:val="24"/>
          <w:szCs w:val="24"/>
          <w:lang w:val="sr-Latn-CS"/>
        </w:rPr>
        <w:t xml:space="preserve"> (IKT) u Republici Kosovo, Ministarstvo </w:t>
      </w:r>
      <w:r w:rsidR="00CD5E9A">
        <w:rPr>
          <w:rFonts w:ascii="Book Antiqua" w:hAnsi="Book Antiqua" w:cs="Book Antiqua"/>
          <w:sz w:val="24"/>
          <w:szCs w:val="24"/>
          <w:lang w:val="sr-Latn-CS"/>
        </w:rPr>
        <w:t>I</w:t>
      </w:r>
      <w:r w:rsidRPr="00F54C2F">
        <w:rPr>
          <w:rFonts w:ascii="Book Antiqua" w:hAnsi="Book Antiqua" w:cs="Book Antiqua"/>
          <w:sz w:val="24"/>
          <w:szCs w:val="24"/>
          <w:lang w:val="sr-Latn-CS"/>
        </w:rPr>
        <w:t xml:space="preserve">ndustrije, </w:t>
      </w:r>
      <w:r w:rsidR="00CD5E9A">
        <w:rPr>
          <w:rFonts w:ascii="Book Antiqua" w:hAnsi="Book Antiqua" w:cs="Book Antiqua"/>
          <w:sz w:val="24"/>
          <w:szCs w:val="24"/>
          <w:lang w:val="sr-Latn-CS"/>
        </w:rPr>
        <w:t>P</w:t>
      </w:r>
      <w:r w:rsidRPr="00F54C2F">
        <w:rPr>
          <w:rFonts w:ascii="Book Antiqua" w:hAnsi="Book Antiqua" w:cs="Book Antiqua"/>
          <w:sz w:val="24"/>
          <w:szCs w:val="24"/>
          <w:lang w:val="sr-Latn-CS"/>
        </w:rPr>
        <w:t xml:space="preserve">reduzetništva i </w:t>
      </w:r>
      <w:r w:rsidR="00CD5E9A">
        <w:rPr>
          <w:rFonts w:ascii="Book Antiqua" w:hAnsi="Book Antiqua" w:cs="Book Antiqua"/>
          <w:sz w:val="24"/>
          <w:szCs w:val="24"/>
          <w:lang w:val="sr-Latn-CS"/>
        </w:rPr>
        <w:t>T</w:t>
      </w:r>
      <w:r w:rsidRPr="00F54C2F">
        <w:rPr>
          <w:rFonts w:ascii="Book Antiqua" w:hAnsi="Book Antiqua" w:cs="Book Antiqua"/>
          <w:sz w:val="24"/>
          <w:szCs w:val="24"/>
          <w:lang w:val="sr-Latn-CS"/>
        </w:rPr>
        <w:t>rgovine objavljuje:</w:t>
      </w:r>
    </w:p>
    <w:p w14:paraId="61709FA9" w14:textId="77777777" w:rsidR="007223E6" w:rsidRPr="00F54C2F" w:rsidRDefault="007223E6">
      <w:pPr>
        <w:pStyle w:val="BodyText"/>
        <w:spacing w:before="6"/>
        <w:ind w:left="0"/>
        <w:rPr>
          <w:rFonts w:ascii="Book Antiqua" w:hAnsi="Book Antiqua" w:cs="Book Antiqua"/>
          <w:b/>
          <w:lang w:val="sr-Latn-CS"/>
        </w:rPr>
      </w:pPr>
    </w:p>
    <w:p w14:paraId="38A9FAA6" w14:textId="536CD937" w:rsidR="007223E6" w:rsidRPr="00F54C2F" w:rsidRDefault="00B154B1" w:rsidP="00B8738D">
      <w:pPr>
        <w:pStyle w:val="Heading"/>
        <w:spacing w:line="252" w:lineRule="auto"/>
        <w:jc w:val="center"/>
        <w:rPr>
          <w:rFonts w:ascii="Book Antiqua" w:hAnsi="Book Antiqua" w:cs="Book Antiqua"/>
          <w:i/>
          <w:lang w:val="sr-Latn-CS"/>
        </w:rPr>
      </w:pPr>
      <w:r w:rsidRPr="00F54C2F">
        <w:rPr>
          <w:rFonts w:ascii="Book Antiqua" w:hAnsi="Book Antiqua" w:cs="Book Antiqua"/>
          <w:i/>
          <w:lang w:val="sr-Latn-CS"/>
        </w:rPr>
        <w:t xml:space="preserve">Javni poziv za </w:t>
      </w:r>
      <w:r w:rsidR="00B8738D">
        <w:rPr>
          <w:rFonts w:ascii="Book Antiqua" w:hAnsi="Book Antiqua" w:cs="Book Antiqua"/>
          <w:i/>
          <w:lang w:val="sr-Latn-CS"/>
        </w:rPr>
        <w:t>apliciranje  IK</w:t>
      </w:r>
      <w:r w:rsidRPr="00F54C2F">
        <w:rPr>
          <w:rFonts w:ascii="Book Antiqua" w:hAnsi="Book Antiqua" w:cs="Book Antiqua"/>
          <w:i/>
          <w:lang w:val="sr-Latn-CS"/>
        </w:rPr>
        <w:t>T kompanija</w:t>
      </w:r>
      <w:r w:rsidR="00CD5E9A">
        <w:rPr>
          <w:rFonts w:ascii="Book Antiqua" w:hAnsi="Book Antiqua" w:cs="Book Antiqua"/>
          <w:i/>
          <w:lang w:val="sr-Latn-CS"/>
        </w:rPr>
        <w:t xml:space="preserve"> i produze</w:t>
      </w:r>
      <w:r w:rsidR="0078585C" w:rsidRPr="00F54C2F">
        <w:rPr>
          <w:rFonts w:ascii="Book Antiqua" w:hAnsi="Book Antiqua" w:cs="Book Antiqua"/>
          <w:i/>
          <w:lang w:val="sr-Latn-CS"/>
        </w:rPr>
        <w:t>ć</w:t>
      </w:r>
      <w:r w:rsidR="00CD5E9A">
        <w:rPr>
          <w:rFonts w:ascii="Book Antiqua" w:hAnsi="Book Antiqua" w:cs="Book Antiqua"/>
          <w:i/>
          <w:lang w:val="sr-Latn-CS"/>
        </w:rPr>
        <w:t>a Start-Up</w:t>
      </w:r>
      <w:r w:rsidRPr="00F54C2F">
        <w:rPr>
          <w:rFonts w:ascii="Book Antiqua" w:hAnsi="Book Antiqua" w:cs="Book Antiqua"/>
          <w:i/>
          <w:lang w:val="sr-Latn-CS"/>
        </w:rPr>
        <w:t xml:space="preserve"> za učešće na međunarodnom događaju „EXPO 2020“ u Duba</w:t>
      </w:r>
      <w:r w:rsidR="00B8738D">
        <w:rPr>
          <w:rFonts w:ascii="Book Antiqua" w:hAnsi="Book Antiqua" w:cs="Book Antiqua"/>
          <w:i/>
          <w:lang w:val="sr-Latn-CS"/>
        </w:rPr>
        <w:t>iju</w:t>
      </w:r>
      <w:r w:rsidRPr="00F54C2F">
        <w:rPr>
          <w:rFonts w:ascii="Book Antiqua" w:hAnsi="Book Antiqua" w:cs="Book Antiqua"/>
          <w:i/>
          <w:lang w:val="sr-Latn-CS"/>
        </w:rPr>
        <w:t xml:space="preserve">, </w:t>
      </w:r>
      <w:r w:rsidR="00B8738D">
        <w:rPr>
          <w:rFonts w:ascii="Book Antiqua" w:hAnsi="Book Antiqua" w:cs="Book Antiqua"/>
          <w:i/>
          <w:lang w:val="sr-Latn-CS"/>
        </w:rPr>
        <w:t>Ujedinjeni Emirati za t</w:t>
      </w:r>
      <w:r w:rsidRPr="00F54C2F">
        <w:rPr>
          <w:rFonts w:ascii="Book Antiqua" w:hAnsi="Book Antiqua" w:cs="Book Antiqua"/>
          <w:i/>
          <w:lang w:val="sr-Latn-CS"/>
        </w:rPr>
        <w:t>ematsku nedelju inovacija koja počinje od 2</w:t>
      </w:r>
      <w:r w:rsidR="00BE5568">
        <w:rPr>
          <w:rFonts w:ascii="Book Antiqua" w:hAnsi="Book Antiqua" w:cs="Book Antiqua"/>
          <w:i/>
          <w:lang w:val="sr-Latn-CS"/>
        </w:rPr>
        <w:t>7</w:t>
      </w:r>
      <w:r w:rsidRPr="00F54C2F">
        <w:rPr>
          <w:rFonts w:ascii="Book Antiqua" w:hAnsi="Book Antiqua" w:cs="Book Antiqua"/>
          <w:i/>
          <w:lang w:val="sr-Latn-CS"/>
        </w:rPr>
        <w:t>. do 3</w:t>
      </w:r>
      <w:r w:rsidR="00BE5568">
        <w:rPr>
          <w:rFonts w:ascii="Book Antiqua" w:hAnsi="Book Antiqua" w:cs="Book Antiqua"/>
          <w:i/>
          <w:lang w:val="sr-Latn-CS"/>
        </w:rPr>
        <w:t>1</w:t>
      </w:r>
      <w:r w:rsidRPr="00F54C2F">
        <w:rPr>
          <w:rFonts w:ascii="Book Antiqua" w:hAnsi="Book Antiqua" w:cs="Book Antiqua"/>
          <w:i/>
          <w:lang w:val="sr-Latn-CS"/>
        </w:rPr>
        <w:t>. decembra 2021.</w:t>
      </w:r>
      <w:r w:rsidR="00B8738D">
        <w:rPr>
          <w:rFonts w:ascii="Book Antiqua" w:hAnsi="Book Antiqua" w:cs="Book Antiqua"/>
          <w:i/>
          <w:lang w:val="sr-Latn-CS"/>
        </w:rPr>
        <w:t xml:space="preserve"> godine</w:t>
      </w:r>
    </w:p>
    <w:p w14:paraId="6C018D7D" w14:textId="77777777" w:rsidR="007223E6" w:rsidRPr="00F54C2F" w:rsidRDefault="007223E6">
      <w:pPr>
        <w:pStyle w:val="BodyText"/>
        <w:tabs>
          <w:tab w:val="left" w:pos="8273"/>
        </w:tabs>
        <w:spacing w:before="1" w:line="256" w:lineRule="auto"/>
        <w:ind w:left="0" w:right="753"/>
        <w:jc w:val="both"/>
        <w:rPr>
          <w:rFonts w:ascii="Book Antiqua" w:eastAsia="MS Mincho;ＭＳ 明朝" w:hAnsi="Book Antiqua" w:cs="Book Antiqua"/>
          <w:i/>
          <w:lang w:val="sr-Latn-CS"/>
        </w:rPr>
      </w:pPr>
    </w:p>
    <w:p w14:paraId="129DF6CA" w14:textId="77777777" w:rsidR="007223E6" w:rsidRPr="00F54C2F" w:rsidRDefault="00B154B1" w:rsidP="00BC4D07">
      <w:pPr>
        <w:jc w:val="both"/>
        <w:rPr>
          <w:rFonts w:ascii="Book Antiqua" w:hAnsi="Book Antiqua" w:cs="Book Antiqua"/>
          <w:sz w:val="24"/>
          <w:szCs w:val="24"/>
          <w:lang w:val="sr-Latn-CS"/>
        </w:rPr>
      </w:pPr>
      <w:r w:rsidRPr="00F54C2F">
        <w:rPr>
          <w:rFonts w:ascii="Book Antiqua" w:hAnsi="Book Antiqua" w:cs="Book Antiqua"/>
          <w:sz w:val="24"/>
          <w:szCs w:val="24"/>
          <w:lang w:val="sr-Latn-CS"/>
        </w:rPr>
        <w:t>Događaj se organizuje uz pomoć i finansijsku podršku Vlade Kosova, odnosno Ministarstva industrije</w:t>
      </w:r>
      <w:r w:rsidR="00326A68">
        <w:rPr>
          <w:rFonts w:ascii="Book Antiqua" w:hAnsi="Book Antiqua" w:cs="Book Antiqua"/>
          <w:sz w:val="24"/>
          <w:szCs w:val="24"/>
          <w:lang w:val="sr-Latn-CS"/>
        </w:rPr>
        <w:t>, preduzetništva i trgovine (MIP</w:t>
      </w:r>
      <w:r w:rsidRPr="00F54C2F">
        <w:rPr>
          <w:rFonts w:ascii="Book Antiqua" w:hAnsi="Book Antiqua" w:cs="Book Antiqua"/>
          <w:sz w:val="24"/>
          <w:szCs w:val="24"/>
          <w:lang w:val="sr-Latn-CS"/>
        </w:rPr>
        <w:t xml:space="preserve">T). U okviru ove </w:t>
      </w:r>
      <w:r w:rsidR="00326A68">
        <w:rPr>
          <w:rFonts w:ascii="Book Antiqua" w:hAnsi="Book Antiqua" w:cs="Book Antiqua"/>
          <w:sz w:val="24"/>
          <w:szCs w:val="24"/>
          <w:lang w:val="sr-Latn-CS"/>
        </w:rPr>
        <w:t>organizacije MIP</w:t>
      </w:r>
      <w:r w:rsidRPr="00F54C2F">
        <w:rPr>
          <w:rFonts w:ascii="Book Antiqua" w:hAnsi="Book Antiqua" w:cs="Book Antiqua"/>
          <w:sz w:val="24"/>
          <w:szCs w:val="24"/>
          <w:lang w:val="sr-Latn-CS"/>
        </w:rPr>
        <w:t>T će pokriti putne troškove (avionske karte), smeštaj (</w:t>
      </w:r>
      <w:r w:rsidR="00326A68">
        <w:rPr>
          <w:rFonts w:ascii="Book Antiqua" w:hAnsi="Book Antiqua" w:cs="Book Antiqua"/>
          <w:sz w:val="24"/>
          <w:szCs w:val="24"/>
          <w:lang w:val="sr-Latn-CS"/>
        </w:rPr>
        <w:t>prenoćište</w:t>
      </w:r>
      <w:r w:rsidRPr="00F54C2F">
        <w:rPr>
          <w:rFonts w:ascii="Book Antiqua" w:hAnsi="Book Antiqua" w:cs="Book Antiqua"/>
          <w:sz w:val="24"/>
          <w:szCs w:val="24"/>
          <w:lang w:val="sr-Latn-CS"/>
        </w:rPr>
        <w:t xml:space="preserve">, doručak i večera) i ulaznice za učešće na </w:t>
      </w:r>
      <w:r w:rsidR="00BC4D07">
        <w:rPr>
          <w:rFonts w:ascii="Book Antiqua" w:hAnsi="Book Antiqua" w:cs="Book Antiqua"/>
          <w:sz w:val="24"/>
          <w:szCs w:val="24"/>
          <w:lang w:val="sr-Latn-CS"/>
        </w:rPr>
        <w:t>događaj</w:t>
      </w:r>
      <w:r w:rsidRPr="00F54C2F">
        <w:rPr>
          <w:rFonts w:ascii="Book Antiqua" w:hAnsi="Book Antiqua" w:cs="Book Antiqua"/>
          <w:sz w:val="24"/>
          <w:szCs w:val="24"/>
          <w:lang w:val="sr-Latn-CS"/>
        </w:rPr>
        <w:t xml:space="preserve"> EXPO 2020</w:t>
      </w:r>
      <w:r w:rsidR="00BC4D07">
        <w:rPr>
          <w:rFonts w:ascii="Book Antiqua" w:hAnsi="Book Antiqua" w:cs="Book Antiqua"/>
          <w:sz w:val="24"/>
          <w:szCs w:val="24"/>
          <w:lang w:val="sr-Latn-CS"/>
        </w:rPr>
        <w:t>. Subjekti koji budu odabrani prema</w:t>
      </w:r>
      <w:r w:rsidRPr="00F54C2F">
        <w:rPr>
          <w:rFonts w:ascii="Book Antiqua" w:hAnsi="Book Antiqua" w:cs="Book Antiqua"/>
          <w:sz w:val="24"/>
          <w:szCs w:val="24"/>
          <w:lang w:val="sr-Latn-CS"/>
        </w:rPr>
        <w:t xml:space="preserve"> kriterijumima ovog poziva biće pokriveni vaši troškovi, samo </w:t>
      </w:r>
      <w:r w:rsidRPr="00BC4D07">
        <w:rPr>
          <w:rFonts w:ascii="Book Antiqua" w:hAnsi="Book Antiqua" w:cs="Book Antiqua"/>
          <w:b/>
          <w:bCs/>
          <w:sz w:val="24"/>
          <w:szCs w:val="24"/>
          <w:lang w:val="sr-Latn-CS"/>
        </w:rPr>
        <w:t>za predstavnika subjekta</w:t>
      </w:r>
      <w:r w:rsidRPr="00F54C2F">
        <w:rPr>
          <w:rFonts w:ascii="Book Antiqua" w:hAnsi="Book Antiqua" w:cs="Book Antiqua"/>
          <w:sz w:val="24"/>
          <w:szCs w:val="24"/>
          <w:lang w:val="sr-Latn-CS"/>
        </w:rPr>
        <w:t>, dok za lica u pratnji subjekt snosi troškove iz sopstvenih sredstava.</w:t>
      </w:r>
    </w:p>
    <w:p w14:paraId="511158F5" w14:textId="31AEF769" w:rsidR="007223E6" w:rsidRPr="00F54C2F" w:rsidRDefault="00B154B1" w:rsidP="00BC4D07">
      <w:pPr>
        <w:jc w:val="both"/>
        <w:rPr>
          <w:lang w:val="sr-Latn-CS"/>
        </w:rPr>
      </w:pPr>
      <w:r w:rsidRPr="00F54C2F">
        <w:rPr>
          <w:rFonts w:ascii="Book Antiqua" w:hAnsi="Book Antiqua" w:cs="Book Antiqua"/>
          <w:sz w:val="24"/>
          <w:szCs w:val="24"/>
          <w:lang w:val="sr-Latn-CS"/>
        </w:rPr>
        <w:t xml:space="preserve">Prema kriterijumima ovog javnog poziva za </w:t>
      </w:r>
      <w:r w:rsidR="00BC4D07">
        <w:rPr>
          <w:rFonts w:ascii="Book Antiqua" w:hAnsi="Book Antiqua" w:cs="Book Antiqua"/>
          <w:sz w:val="24"/>
          <w:szCs w:val="24"/>
          <w:lang w:val="sr-Latn-CS"/>
        </w:rPr>
        <w:t>apliciranje</w:t>
      </w:r>
      <w:r w:rsidRPr="00F54C2F">
        <w:rPr>
          <w:rFonts w:ascii="Book Antiqua" w:hAnsi="Book Antiqua" w:cs="Book Antiqua"/>
          <w:sz w:val="24"/>
          <w:szCs w:val="24"/>
          <w:lang w:val="sr-Latn-CS"/>
        </w:rPr>
        <w:t xml:space="preserve"> za učešće na manifestaciji „EXPO 2020“ u Dubaiju, </w:t>
      </w:r>
      <w:r w:rsidR="00CD5E9A">
        <w:rPr>
          <w:rFonts w:ascii="Book Antiqua" w:hAnsi="Book Antiqua" w:cs="Book Antiqua"/>
          <w:sz w:val="24"/>
          <w:szCs w:val="24"/>
          <w:lang w:val="sr-Latn-CS"/>
        </w:rPr>
        <w:t xml:space="preserve">bice podrzana </w:t>
      </w:r>
      <w:r w:rsidR="00CD5E9A" w:rsidRPr="00CD5E9A">
        <w:rPr>
          <w:rFonts w:ascii="Book Antiqua" w:hAnsi="Book Antiqua" w:cs="Book Antiqua"/>
          <w:b/>
          <w:bCs/>
          <w:sz w:val="24"/>
          <w:szCs w:val="24"/>
          <w:lang w:val="sr-Latn-CS"/>
        </w:rPr>
        <w:t>4 Start-Up produzeca i 5 kompanija iz IKT sektora</w:t>
      </w:r>
      <w:r w:rsidR="00CD5E9A">
        <w:rPr>
          <w:rFonts w:ascii="Book Antiqua" w:hAnsi="Book Antiqua" w:cs="Book Antiqua"/>
          <w:sz w:val="24"/>
          <w:szCs w:val="24"/>
          <w:lang w:val="sr-Latn-CS"/>
        </w:rPr>
        <w:t xml:space="preserve">, </w:t>
      </w:r>
      <w:r w:rsidR="00CD5E9A" w:rsidRPr="00F54C2F">
        <w:rPr>
          <w:rFonts w:ascii="Book Antiqua" w:hAnsi="Book Antiqua" w:cs="Book Antiqua"/>
          <w:sz w:val="24"/>
          <w:szCs w:val="24"/>
          <w:lang w:val="sr-Latn-CS"/>
        </w:rPr>
        <w:t>š</w:t>
      </w:r>
      <w:r w:rsidR="00CD5E9A">
        <w:rPr>
          <w:rFonts w:ascii="Book Antiqua" w:hAnsi="Book Antiqua" w:cs="Book Antiqua"/>
          <w:sz w:val="24"/>
          <w:szCs w:val="24"/>
          <w:lang w:val="sr-Latn-CS"/>
        </w:rPr>
        <w:t xml:space="preserve">to </w:t>
      </w:r>
      <w:r w:rsidRPr="00F54C2F">
        <w:rPr>
          <w:rFonts w:ascii="Book Antiqua" w:hAnsi="Book Antiqua" w:cs="Book Antiqua"/>
          <w:sz w:val="24"/>
          <w:szCs w:val="24"/>
          <w:lang w:val="sr-Latn-CS"/>
        </w:rPr>
        <w:t>moraju dokazati svoje iskustvo u određenim oblastima kao što su:</w:t>
      </w:r>
    </w:p>
    <w:p w14:paraId="218E83FA" w14:textId="77777777" w:rsidR="00FA339F" w:rsidRPr="007E2EBC" w:rsidRDefault="00FA339F" w:rsidP="00FA339F">
      <w:pPr>
        <w:pStyle w:val="NoSpacing"/>
        <w:numPr>
          <w:ilvl w:val="0"/>
          <w:numId w:val="6"/>
        </w:numPr>
        <w:suppressAutoHyphens w:val="0"/>
        <w:jc w:val="both"/>
        <w:rPr>
          <w:rFonts w:ascii="Book Antiqua" w:hAnsi="Book Antiqua"/>
          <w:sz w:val="24"/>
          <w:szCs w:val="24"/>
          <w:lang w:val="sq-AL"/>
        </w:rPr>
      </w:pPr>
      <w:proofErr w:type="spellStart"/>
      <w:r w:rsidRPr="007E2EBC">
        <w:rPr>
          <w:rFonts w:ascii="Book Antiqua" w:hAnsi="Book Antiqua"/>
          <w:sz w:val="24"/>
          <w:szCs w:val="24"/>
          <w:lang w:val="sq-AL"/>
        </w:rPr>
        <w:t>Cyber</w:t>
      </w:r>
      <w:proofErr w:type="spellEnd"/>
      <w:r w:rsidRPr="007E2EBC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7E2EBC">
        <w:rPr>
          <w:rFonts w:ascii="Book Antiqua" w:hAnsi="Book Antiqua"/>
          <w:sz w:val="24"/>
          <w:szCs w:val="24"/>
          <w:lang w:val="sq-AL"/>
        </w:rPr>
        <w:t>Security</w:t>
      </w:r>
      <w:proofErr w:type="spellEnd"/>
      <w:r w:rsidRPr="007E2EBC">
        <w:rPr>
          <w:rFonts w:ascii="Book Antiqua" w:hAnsi="Book Antiqua"/>
          <w:sz w:val="24"/>
          <w:szCs w:val="24"/>
          <w:lang w:val="sq-AL"/>
        </w:rPr>
        <w:t>,</w:t>
      </w:r>
    </w:p>
    <w:p w14:paraId="7369C08B" w14:textId="77777777" w:rsidR="00FA339F" w:rsidRPr="007E2EBC" w:rsidRDefault="00FA339F" w:rsidP="00FA339F">
      <w:pPr>
        <w:pStyle w:val="NoSpacing"/>
        <w:numPr>
          <w:ilvl w:val="0"/>
          <w:numId w:val="6"/>
        </w:numPr>
        <w:suppressAutoHyphens w:val="0"/>
        <w:jc w:val="both"/>
        <w:rPr>
          <w:rFonts w:ascii="Book Antiqua" w:hAnsi="Book Antiqua"/>
          <w:sz w:val="24"/>
          <w:szCs w:val="24"/>
          <w:lang w:val="sq-AL"/>
        </w:rPr>
      </w:pPr>
      <w:proofErr w:type="spellStart"/>
      <w:r w:rsidRPr="007E2EBC">
        <w:rPr>
          <w:rFonts w:ascii="Book Antiqua" w:hAnsi="Book Antiqua"/>
          <w:sz w:val="24"/>
          <w:szCs w:val="24"/>
          <w:lang w:val="sq-AL"/>
        </w:rPr>
        <w:t>Cloud-Services</w:t>
      </w:r>
      <w:proofErr w:type="spellEnd"/>
      <w:r w:rsidRPr="007E2EBC">
        <w:rPr>
          <w:rFonts w:ascii="Book Antiqua" w:hAnsi="Book Antiqua"/>
          <w:sz w:val="24"/>
          <w:szCs w:val="24"/>
          <w:lang w:val="sq-AL"/>
        </w:rPr>
        <w:t xml:space="preserve"> (</w:t>
      </w:r>
      <w:proofErr w:type="spellStart"/>
      <w:r w:rsidRPr="007E2EBC">
        <w:rPr>
          <w:rFonts w:ascii="Book Antiqua" w:hAnsi="Book Antiqua"/>
          <w:sz w:val="24"/>
          <w:szCs w:val="24"/>
          <w:lang w:val="sq-AL"/>
        </w:rPr>
        <w:t>SaaS</w:t>
      </w:r>
      <w:proofErr w:type="spellEnd"/>
      <w:r w:rsidRPr="007E2EBC">
        <w:rPr>
          <w:rFonts w:ascii="Book Antiqua" w:hAnsi="Book Antiqua"/>
          <w:sz w:val="24"/>
          <w:szCs w:val="24"/>
          <w:lang w:val="sq-AL"/>
        </w:rPr>
        <w:t>),</w:t>
      </w:r>
    </w:p>
    <w:p w14:paraId="3B0C9393" w14:textId="77777777" w:rsidR="00FA339F" w:rsidRPr="007E2EBC" w:rsidRDefault="00FA339F" w:rsidP="00FA339F">
      <w:pPr>
        <w:pStyle w:val="NoSpacing"/>
        <w:numPr>
          <w:ilvl w:val="0"/>
          <w:numId w:val="6"/>
        </w:numPr>
        <w:suppressAutoHyphens w:val="0"/>
        <w:jc w:val="both"/>
        <w:rPr>
          <w:rFonts w:ascii="Book Antiqua" w:hAnsi="Book Antiqua"/>
          <w:sz w:val="24"/>
          <w:szCs w:val="24"/>
          <w:lang w:val="sq-AL"/>
        </w:rPr>
      </w:pPr>
      <w:proofErr w:type="spellStart"/>
      <w:r w:rsidRPr="007E2EBC">
        <w:rPr>
          <w:rFonts w:ascii="Book Antiqua" w:hAnsi="Book Antiqua"/>
          <w:sz w:val="24"/>
          <w:szCs w:val="24"/>
          <w:lang w:val="sq-AL"/>
        </w:rPr>
        <w:t>Web</w:t>
      </w:r>
      <w:proofErr w:type="spellEnd"/>
      <w:r w:rsidRPr="007E2EBC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7E2EBC">
        <w:rPr>
          <w:rFonts w:ascii="Book Antiqua" w:hAnsi="Book Antiqua"/>
          <w:sz w:val="24"/>
          <w:szCs w:val="24"/>
          <w:lang w:val="sq-AL"/>
        </w:rPr>
        <w:t>Development</w:t>
      </w:r>
      <w:proofErr w:type="spellEnd"/>
      <w:r w:rsidRPr="007E2EBC">
        <w:rPr>
          <w:rFonts w:ascii="Book Antiqua" w:hAnsi="Book Antiqua"/>
          <w:sz w:val="24"/>
          <w:szCs w:val="24"/>
          <w:lang w:val="sq-AL"/>
        </w:rPr>
        <w:t>,</w:t>
      </w:r>
    </w:p>
    <w:p w14:paraId="6C864AA3" w14:textId="77777777" w:rsidR="00FA339F" w:rsidRPr="007E2EBC" w:rsidRDefault="00FA339F" w:rsidP="00FA339F">
      <w:pPr>
        <w:pStyle w:val="NoSpacing"/>
        <w:numPr>
          <w:ilvl w:val="0"/>
          <w:numId w:val="6"/>
        </w:numPr>
        <w:suppressAutoHyphens w:val="0"/>
        <w:jc w:val="both"/>
        <w:rPr>
          <w:rFonts w:ascii="Book Antiqua" w:hAnsi="Book Antiqua"/>
          <w:sz w:val="24"/>
          <w:szCs w:val="24"/>
          <w:lang w:val="sq-AL"/>
        </w:rPr>
      </w:pPr>
      <w:r w:rsidRPr="007E2EBC">
        <w:rPr>
          <w:rFonts w:ascii="Book Antiqua" w:hAnsi="Book Antiqua"/>
          <w:sz w:val="24"/>
          <w:szCs w:val="24"/>
          <w:lang w:val="sq-AL"/>
        </w:rPr>
        <w:t>IT- (</w:t>
      </w:r>
      <w:proofErr w:type="spellStart"/>
      <w:r w:rsidRPr="007E2EBC">
        <w:rPr>
          <w:rFonts w:ascii="Book Antiqua" w:hAnsi="Book Antiqua"/>
          <w:sz w:val="24"/>
          <w:szCs w:val="24"/>
          <w:lang w:val="sq-AL"/>
        </w:rPr>
        <w:t>user</w:t>
      </w:r>
      <w:proofErr w:type="spellEnd"/>
      <w:r w:rsidRPr="007E2EBC">
        <w:rPr>
          <w:rFonts w:ascii="Book Antiqua" w:hAnsi="Book Antiqua"/>
          <w:sz w:val="24"/>
          <w:szCs w:val="24"/>
          <w:lang w:val="sq-AL"/>
        </w:rPr>
        <w:t xml:space="preserve">) </w:t>
      </w:r>
      <w:proofErr w:type="spellStart"/>
      <w:r w:rsidRPr="007E2EBC">
        <w:rPr>
          <w:rFonts w:ascii="Book Antiqua" w:hAnsi="Book Antiqua"/>
          <w:sz w:val="24"/>
          <w:szCs w:val="24"/>
          <w:lang w:val="sq-AL"/>
        </w:rPr>
        <w:t>support</w:t>
      </w:r>
      <w:proofErr w:type="spellEnd"/>
      <w:r w:rsidRPr="007E2EBC">
        <w:rPr>
          <w:rFonts w:ascii="Book Antiqua" w:hAnsi="Book Antiqua"/>
          <w:sz w:val="24"/>
          <w:szCs w:val="24"/>
          <w:lang w:val="sq-AL"/>
        </w:rPr>
        <w:t>,</w:t>
      </w:r>
    </w:p>
    <w:p w14:paraId="76EA400E" w14:textId="77777777" w:rsidR="00FA339F" w:rsidRPr="007E2EBC" w:rsidRDefault="00FA339F" w:rsidP="00FA339F">
      <w:pPr>
        <w:pStyle w:val="NoSpacing"/>
        <w:numPr>
          <w:ilvl w:val="0"/>
          <w:numId w:val="6"/>
        </w:numPr>
        <w:suppressAutoHyphens w:val="0"/>
        <w:jc w:val="both"/>
        <w:rPr>
          <w:rFonts w:ascii="Book Antiqua" w:hAnsi="Book Antiqua"/>
          <w:sz w:val="24"/>
          <w:szCs w:val="24"/>
          <w:lang w:val="sq-AL"/>
        </w:rPr>
      </w:pPr>
      <w:r w:rsidRPr="007E2EBC">
        <w:rPr>
          <w:rFonts w:ascii="Book Antiqua" w:hAnsi="Book Antiqua"/>
          <w:sz w:val="24"/>
          <w:szCs w:val="24"/>
          <w:lang w:val="sq-AL"/>
        </w:rPr>
        <w:t xml:space="preserve">Data </w:t>
      </w:r>
      <w:proofErr w:type="spellStart"/>
      <w:r w:rsidRPr="007E2EBC">
        <w:rPr>
          <w:rFonts w:ascii="Book Antiqua" w:hAnsi="Book Antiqua"/>
          <w:sz w:val="24"/>
          <w:szCs w:val="24"/>
          <w:lang w:val="sq-AL"/>
        </w:rPr>
        <w:t>science</w:t>
      </w:r>
      <w:proofErr w:type="spellEnd"/>
      <w:r w:rsidRPr="007E2EBC">
        <w:rPr>
          <w:rFonts w:ascii="Book Antiqua" w:hAnsi="Book Antiqua"/>
          <w:sz w:val="24"/>
          <w:szCs w:val="24"/>
          <w:lang w:val="sq-AL"/>
        </w:rPr>
        <w:t>,</w:t>
      </w:r>
    </w:p>
    <w:p w14:paraId="13A84835" w14:textId="77777777" w:rsidR="00FA339F" w:rsidRPr="007E2EBC" w:rsidRDefault="00FA339F" w:rsidP="00FA339F">
      <w:pPr>
        <w:pStyle w:val="NoSpacing"/>
        <w:numPr>
          <w:ilvl w:val="0"/>
          <w:numId w:val="6"/>
        </w:numPr>
        <w:suppressAutoHyphens w:val="0"/>
        <w:jc w:val="both"/>
        <w:rPr>
          <w:rFonts w:ascii="Book Antiqua" w:hAnsi="Book Antiqua"/>
          <w:sz w:val="24"/>
          <w:szCs w:val="24"/>
          <w:lang w:val="sq-AL"/>
        </w:rPr>
      </w:pPr>
      <w:proofErr w:type="spellStart"/>
      <w:r w:rsidRPr="007E2EBC">
        <w:rPr>
          <w:rFonts w:ascii="Book Antiqua" w:hAnsi="Book Antiqua"/>
          <w:sz w:val="24"/>
          <w:szCs w:val="24"/>
          <w:lang w:val="sq-AL"/>
        </w:rPr>
        <w:t>Hard</w:t>
      </w:r>
      <w:r>
        <w:rPr>
          <w:rFonts w:ascii="Book Antiqua" w:hAnsi="Book Antiqua"/>
          <w:sz w:val="24"/>
          <w:szCs w:val="24"/>
          <w:lang w:val="sq-AL"/>
        </w:rPr>
        <w:t>w</w:t>
      </w:r>
      <w:r w:rsidRPr="007E2EBC">
        <w:rPr>
          <w:rFonts w:ascii="Book Antiqua" w:hAnsi="Book Antiqua"/>
          <w:sz w:val="24"/>
          <w:szCs w:val="24"/>
          <w:lang w:val="sq-AL"/>
        </w:rPr>
        <w:t>are</w:t>
      </w:r>
      <w:proofErr w:type="spellEnd"/>
      <w:r w:rsidRPr="007E2EBC">
        <w:rPr>
          <w:rFonts w:ascii="Book Antiqua" w:hAnsi="Book Antiqua"/>
          <w:sz w:val="24"/>
          <w:szCs w:val="24"/>
          <w:lang w:val="sq-AL"/>
        </w:rPr>
        <w:t xml:space="preserve"> </w:t>
      </w:r>
    </w:p>
    <w:p w14:paraId="39E6DB1E" w14:textId="77777777" w:rsidR="00FA339F" w:rsidRPr="007E2EBC" w:rsidRDefault="00FA339F" w:rsidP="00FA339F">
      <w:pPr>
        <w:pStyle w:val="NoSpacing"/>
        <w:numPr>
          <w:ilvl w:val="0"/>
          <w:numId w:val="6"/>
        </w:numPr>
        <w:suppressAutoHyphens w:val="0"/>
        <w:jc w:val="both"/>
        <w:rPr>
          <w:rFonts w:ascii="Book Antiqua" w:hAnsi="Book Antiqua"/>
          <w:sz w:val="24"/>
          <w:szCs w:val="24"/>
          <w:lang w:val="sq-AL"/>
        </w:rPr>
      </w:pPr>
      <w:proofErr w:type="spellStart"/>
      <w:r w:rsidRPr="007E2EBC">
        <w:rPr>
          <w:rFonts w:ascii="Book Antiqua" w:hAnsi="Book Antiqua"/>
          <w:sz w:val="24"/>
          <w:szCs w:val="24"/>
          <w:lang w:val="sq-AL"/>
        </w:rPr>
        <w:t>Industry</w:t>
      </w:r>
      <w:proofErr w:type="spellEnd"/>
      <w:r w:rsidRPr="007E2EBC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7E2EBC">
        <w:rPr>
          <w:rFonts w:ascii="Book Antiqua" w:hAnsi="Book Antiqua"/>
          <w:sz w:val="24"/>
          <w:szCs w:val="24"/>
          <w:lang w:val="sq-AL"/>
        </w:rPr>
        <w:t>related</w:t>
      </w:r>
      <w:proofErr w:type="spellEnd"/>
      <w:r w:rsidRPr="007E2EBC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7E2EBC">
        <w:rPr>
          <w:rFonts w:ascii="Book Antiqua" w:hAnsi="Book Antiqua"/>
          <w:sz w:val="24"/>
          <w:szCs w:val="24"/>
          <w:lang w:val="sq-AL"/>
        </w:rPr>
        <w:t>software</w:t>
      </w:r>
      <w:proofErr w:type="spellEnd"/>
      <w:r w:rsidRPr="007E2EBC">
        <w:rPr>
          <w:rFonts w:ascii="Book Antiqua" w:hAnsi="Book Antiqua"/>
          <w:sz w:val="24"/>
          <w:szCs w:val="24"/>
          <w:lang w:val="sq-AL"/>
        </w:rPr>
        <w:t xml:space="preserve"> </w:t>
      </w:r>
      <w:proofErr w:type="spellStart"/>
      <w:r w:rsidRPr="007E2EBC">
        <w:rPr>
          <w:rFonts w:ascii="Book Antiqua" w:hAnsi="Book Antiqua"/>
          <w:sz w:val="24"/>
          <w:szCs w:val="24"/>
          <w:lang w:val="sq-AL"/>
        </w:rPr>
        <w:t>programming</w:t>
      </w:r>
      <w:proofErr w:type="spellEnd"/>
      <w:r w:rsidRPr="007E2EBC">
        <w:rPr>
          <w:rFonts w:ascii="Book Antiqua" w:hAnsi="Book Antiqua"/>
          <w:sz w:val="24"/>
          <w:szCs w:val="24"/>
          <w:lang w:val="sq-AL"/>
        </w:rPr>
        <w:t>,</w:t>
      </w:r>
    </w:p>
    <w:p w14:paraId="6870DAC6" w14:textId="77777777" w:rsidR="00FA339F" w:rsidRPr="007E2EBC" w:rsidRDefault="00FA339F" w:rsidP="00FA339F">
      <w:pPr>
        <w:pStyle w:val="NoSpacing"/>
        <w:numPr>
          <w:ilvl w:val="0"/>
          <w:numId w:val="6"/>
        </w:numPr>
        <w:suppressAutoHyphens w:val="0"/>
        <w:jc w:val="both"/>
        <w:rPr>
          <w:rFonts w:ascii="Book Antiqua" w:hAnsi="Book Antiqua"/>
          <w:sz w:val="24"/>
          <w:szCs w:val="24"/>
          <w:lang w:val="sq-AL"/>
        </w:rPr>
      </w:pPr>
      <w:proofErr w:type="spellStart"/>
      <w:r w:rsidRPr="007E2EBC">
        <w:rPr>
          <w:rFonts w:ascii="Book Antiqua" w:hAnsi="Book Antiqua"/>
          <w:sz w:val="24"/>
          <w:szCs w:val="24"/>
          <w:lang w:val="sq-AL"/>
        </w:rPr>
        <w:t>Intelenxhenc</w:t>
      </w:r>
      <w:proofErr w:type="spellEnd"/>
      <w:r w:rsidRPr="007E2EBC">
        <w:rPr>
          <w:rFonts w:ascii="Book Antiqua" w:hAnsi="Book Antiqua"/>
          <w:sz w:val="24"/>
          <w:szCs w:val="24"/>
          <w:lang w:val="sq-AL"/>
        </w:rPr>
        <w:t xml:space="preserve"> artificiale, etj.</w:t>
      </w:r>
    </w:p>
    <w:p w14:paraId="4C85C5B4" w14:textId="77777777" w:rsidR="007223E6" w:rsidRPr="00F54C2F" w:rsidRDefault="007223E6">
      <w:pPr>
        <w:pStyle w:val="NoSpacing"/>
        <w:jc w:val="both"/>
        <w:rPr>
          <w:rFonts w:ascii="Book Antiqua" w:hAnsi="Book Antiqua" w:cs="Book Antiqua"/>
          <w:sz w:val="24"/>
          <w:szCs w:val="24"/>
          <w:lang w:val="sr-Latn-CS"/>
        </w:rPr>
      </w:pPr>
    </w:p>
    <w:p w14:paraId="42FE7A2F" w14:textId="03CA8094" w:rsidR="007223E6" w:rsidRPr="00F54C2F" w:rsidRDefault="00B154B1" w:rsidP="00130003">
      <w:pPr>
        <w:pStyle w:val="NoSpacing"/>
        <w:jc w:val="both"/>
        <w:rPr>
          <w:rFonts w:ascii="Book Antiqua" w:hAnsi="Book Antiqua" w:cs="Book Antiqua"/>
          <w:sz w:val="24"/>
          <w:szCs w:val="24"/>
          <w:lang w:val="sr-Latn-CS"/>
        </w:rPr>
      </w:pPr>
      <w:r w:rsidRPr="00F54C2F">
        <w:rPr>
          <w:rFonts w:ascii="Book Antiqua" w:hAnsi="Book Antiqua" w:cs="Book Antiqua"/>
          <w:sz w:val="24"/>
          <w:szCs w:val="24"/>
          <w:lang w:val="sr-Latn-CS"/>
        </w:rPr>
        <w:t>Komplet</w:t>
      </w:r>
      <w:r w:rsidR="00130003">
        <w:rPr>
          <w:rFonts w:ascii="Book Antiqua" w:hAnsi="Book Antiqua" w:cs="Book Antiqua"/>
          <w:sz w:val="24"/>
          <w:szCs w:val="24"/>
          <w:lang w:val="sr-Latn-CS"/>
        </w:rPr>
        <w:t xml:space="preserve">na dokumentacija dostavljena </w:t>
      </w:r>
      <w:r w:rsidRPr="00F54C2F">
        <w:rPr>
          <w:rFonts w:ascii="Book Antiqua" w:hAnsi="Book Antiqua" w:cs="Book Antiqua"/>
          <w:sz w:val="24"/>
          <w:szCs w:val="24"/>
          <w:lang w:val="sr-Latn-CS"/>
        </w:rPr>
        <w:t>da</w:t>
      </w:r>
      <w:r w:rsidR="00130003">
        <w:rPr>
          <w:rFonts w:ascii="Book Antiqua" w:hAnsi="Book Antiqua" w:cs="Book Antiqua"/>
          <w:sz w:val="24"/>
          <w:szCs w:val="24"/>
          <w:lang w:val="sr-Latn-CS"/>
        </w:rPr>
        <w:t>na</w:t>
      </w:r>
      <w:r w:rsidRPr="00F54C2F">
        <w:rPr>
          <w:rFonts w:ascii="Book Antiqua" w:hAnsi="Book Antiqua" w:cs="Book Antiqua"/>
          <w:sz w:val="24"/>
          <w:szCs w:val="24"/>
          <w:lang w:val="sr-Latn-CS"/>
        </w:rPr>
        <w:t xml:space="preserve"> </w:t>
      </w:r>
      <w:bookmarkStart w:id="0" w:name="_GoBack"/>
      <w:bookmarkEnd w:id="0"/>
      <w:r w:rsidR="008D0C70" w:rsidRPr="0056523A">
        <w:rPr>
          <w:rFonts w:ascii="Book Antiqua" w:hAnsi="Book Antiqua" w:cs="Book Antiqua"/>
          <w:sz w:val="24"/>
          <w:szCs w:val="24"/>
          <w:lang w:val="sr-Latn-CS"/>
        </w:rPr>
        <w:t>12</w:t>
      </w:r>
      <w:r w:rsidRPr="0056523A">
        <w:rPr>
          <w:rFonts w:ascii="Book Antiqua" w:hAnsi="Book Antiqua" w:cs="Book Antiqua"/>
          <w:sz w:val="24"/>
          <w:szCs w:val="24"/>
          <w:lang w:val="sr-Latn-CS"/>
        </w:rPr>
        <w:t>. novembar 2021.</w:t>
      </w:r>
      <w:r w:rsidR="00130003" w:rsidRPr="0056523A">
        <w:rPr>
          <w:rFonts w:ascii="Book Antiqua" w:hAnsi="Book Antiqua" w:cs="Book Antiqua"/>
          <w:sz w:val="24"/>
          <w:szCs w:val="24"/>
          <w:lang w:val="sr-Latn-CS"/>
        </w:rPr>
        <w:t xml:space="preserve"> godine</w:t>
      </w:r>
      <w:r w:rsidRPr="0056523A">
        <w:rPr>
          <w:rFonts w:ascii="Book Antiqua" w:hAnsi="Book Antiqua" w:cs="Book Antiqua"/>
          <w:sz w:val="24"/>
          <w:szCs w:val="24"/>
          <w:lang w:val="sr-Latn-CS"/>
        </w:rPr>
        <w:t xml:space="preserve"> u 16.00 časova,</w:t>
      </w:r>
      <w:r w:rsidRPr="00F54C2F">
        <w:rPr>
          <w:rFonts w:ascii="Book Antiqua" w:hAnsi="Book Antiqua" w:cs="Book Antiqua"/>
          <w:sz w:val="24"/>
          <w:szCs w:val="24"/>
          <w:lang w:val="sr-Latn-CS"/>
        </w:rPr>
        <w:t xml:space="preserve"> razmatraće se za ocenjivanje.</w:t>
      </w:r>
      <w:r w:rsidR="00130003">
        <w:rPr>
          <w:rFonts w:ascii="Book Antiqua" w:hAnsi="Book Antiqua" w:cs="Book Antiqua"/>
          <w:sz w:val="24"/>
          <w:szCs w:val="24"/>
          <w:lang w:val="sr-Latn-CS"/>
        </w:rPr>
        <w:t xml:space="preserve"> </w:t>
      </w:r>
    </w:p>
    <w:p w14:paraId="37A23737" w14:textId="77777777" w:rsidR="007223E6" w:rsidRPr="00F54C2F" w:rsidRDefault="007223E6">
      <w:pPr>
        <w:pStyle w:val="NoSpacing"/>
        <w:jc w:val="both"/>
        <w:rPr>
          <w:rFonts w:ascii="Book Antiqua" w:hAnsi="Book Antiqua" w:cs="Book Antiqua"/>
          <w:sz w:val="24"/>
          <w:szCs w:val="24"/>
          <w:lang w:val="sr-Latn-CS"/>
        </w:rPr>
      </w:pPr>
    </w:p>
    <w:p w14:paraId="652D0029" w14:textId="77777777" w:rsidR="007223E6" w:rsidRPr="00F54C2F" w:rsidRDefault="00B154B1" w:rsidP="001927DA">
      <w:pPr>
        <w:pStyle w:val="ListParagraph"/>
        <w:numPr>
          <w:ilvl w:val="0"/>
          <w:numId w:val="5"/>
        </w:numPr>
        <w:spacing w:after="0" w:line="276" w:lineRule="auto"/>
        <w:ind w:right="29"/>
        <w:jc w:val="both"/>
        <w:rPr>
          <w:rFonts w:ascii="Book Antiqua" w:eastAsia="MS Mincho;ＭＳ 明朝" w:hAnsi="Book Antiqua" w:cs="Book Antiqua"/>
          <w:b/>
          <w:sz w:val="24"/>
          <w:szCs w:val="24"/>
          <w:lang w:val="sr-Latn-CS"/>
        </w:rPr>
      </w:pPr>
      <w:r w:rsidRPr="00F54C2F">
        <w:rPr>
          <w:rFonts w:ascii="Book Antiqua" w:eastAsia="MS Mincho;ＭＳ 明朝" w:hAnsi="Book Antiqua" w:cs="Book Antiqua"/>
          <w:b/>
          <w:sz w:val="24"/>
          <w:szCs w:val="24"/>
          <w:lang w:val="sr-Latn-CS"/>
        </w:rPr>
        <w:t xml:space="preserve">Da biste </w:t>
      </w:r>
      <w:r w:rsidR="001927DA">
        <w:rPr>
          <w:rFonts w:ascii="Book Antiqua" w:eastAsia="MS Mincho;ＭＳ 明朝" w:hAnsi="Book Antiqua" w:cs="Book Antiqua"/>
          <w:b/>
          <w:sz w:val="24"/>
          <w:szCs w:val="24"/>
          <w:lang w:val="sr-Latn-CS"/>
        </w:rPr>
        <w:t>aplicirali</w:t>
      </w:r>
      <w:r w:rsidRPr="00F54C2F">
        <w:rPr>
          <w:rFonts w:ascii="Book Antiqua" w:eastAsia="MS Mincho;ＭＳ 明朝" w:hAnsi="Book Antiqua" w:cs="Book Antiqua"/>
          <w:b/>
          <w:sz w:val="24"/>
          <w:szCs w:val="24"/>
          <w:lang w:val="sr-Latn-CS"/>
        </w:rPr>
        <w:t xml:space="preserve"> morate dostaviti:</w:t>
      </w:r>
    </w:p>
    <w:p w14:paraId="0A6C142B" w14:textId="77777777" w:rsidR="007223E6" w:rsidRPr="00F54C2F" w:rsidRDefault="007223E6">
      <w:pPr>
        <w:pStyle w:val="ListParagraph"/>
        <w:spacing w:after="0" w:line="276" w:lineRule="auto"/>
        <w:ind w:left="360" w:right="29"/>
        <w:jc w:val="both"/>
        <w:rPr>
          <w:rFonts w:ascii="Book Antiqua" w:eastAsia="MS Mincho;ＭＳ 明朝" w:hAnsi="Book Antiqua" w:cs="Book Antiqua"/>
          <w:b/>
          <w:sz w:val="24"/>
          <w:szCs w:val="24"/>
          <w:lang w:val="sr-Latn-CS"/>
        </w:rPr>
      </w:pPr>
    </w:p>
    <w:p w14:paraId="6F4E5EFB" w14:textId="77777777" w:rsidR="007223E6" w:rsidRPr="00F54C2F" w:rsidRDefault="00B154B1" w:rsidP="000E6F9C">
      <w:pPr>
        <w:pStyle w:val="ListParagraph"/>
        <w:numPr>
          <w:ilvl w:val="1"/>
          <w:numId w:val="3"/>
        </w:numPr>
        <w:spacing w:after="0" w:line="276" w:lineRule="auto"/>
        <w:ind w:left="1062" w:right="26"/>
        <w:jc w:val="both"/>
        <w:rPr>
          <w:rFonts w:ascii="Book Antiqua" w:hAnsi="Book Antiqua" w:cs="Book Antiqua"/>
          <w:sz w:val="24"/>
          <w:szCs w:val="24"/>
          <w:lang w:val="sr-Latn-CS"/>
        </w:rPr>
      </w:pPr>
      <w:r w:rsidRPr="00F54C2F">
        <w:rPr>
          <w:rFonts w:ascii="Book Antiqua" w:eastAsia="Book Antiqua" w:hAnsi="Book Antiqua" w:cs="Book Antiqua"/>
          <w:sz w:val="24"/>
          <w:szCs w:val="24"/>
          <w:lang w:val="sr-Latn-CS"/>
        </w:rPr>
        <w:t xml:space="preserve"> </w:t>
      </w:r>
      <w:r w:rsidR="000E6F9C">
        <w:rPr>
          <w:rFonts w:ascii="Book Antiqua" w:eastAsia="MS Mincho;ＭＳ 明朝" w:hAnsi="Book Antiqua" w:cs="Book Antiqua"/>
          <w:sz w:val="24"/>
          <w:szCs w:val="24"/>
          <w:lang w:val="sr-Latn-CS"/>
        </w:rPr>
        <w:t>Popunjenu aplikaciju sa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 osnovnim podacima </w:t>
      </w:r>
      <w:r w:rsidR="000E6F9C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subjekta 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koji </w:t>
      </w:r>
      <w:r w:rsidR="000E6F9C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aplicira 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i </w:t>
      </w:r>
    </w:p>
    <w:p w14:paraId="2C9EA737" w14:textId="77777777" w:rsidR="007223E6" w:rsidRPr="00F54C2F" w:rsidRDefault="00B154B1">
      <w:pPr>
        <w:pStyle w:val="ListParagraph"/>
        <w:numPr>
          <w:ilvl w:val="1"/>
          <w:numId w:val="3"/>
        </w:numPr>
        <w:spacing w:after="0" w:line="276" w:lineRule="auto"/>
        <w:ind w:left="1062" w:right="26"/>
        <w:jc w:val="both"/>
        <w:rPr>
          <w:rFonts w:ascii="Book Antiqua" w:hAnsi="Book Antiqua" w:cs="Book Antiqua"/>
          <w:sz w:val="24"/>
          <w:szCs w:val="24"/>
          <w:lang w:val="sr-Latn-CS"/>
        </w:rPr>
      </w:pPr>
      <w:r w:rsidRPr="00F54C2F">
        <w:rPr>
          <w:rFonts w:ascii="Book Antiqua" w:eastAsia="Book Antiqua" w:hAnsi="Book Antiqua" w:cs="Book Antiqua"/>
          <w:sz w:val="24"/>
          <w:szCs w:val="24"/>
          <w:lang w:val="sr-Latn-CS"/>
        </w:rPr>
        <w:t xml:space="preserve"> </w:t>
      </w:r>
      <w:r w:rsidR="00D90A2C">
        <w:rPr>
          <w:rFonts w:ascii="Book Antiqua" w:eastAsia="MS Mincho;ＭＳ 明朝" w:hAnsi="Book Antiqua" w:cs="Book Antiqua"/>
          <w:sz w:val="24"/>
          <w:szCs w:val="24"/>
          <w:lang w:val="sr-Latn-CS"/>
        </w:rPr>
        <w:t>Potrebne dokumente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>.</w:t>
      </w:r>
    </w:p>
    <w:p w14:paraId="5D81AF56" w14:textId="77777777" w:rsidR="007223E6" w:rsidRPr="00F54C2F" w:rsidRDefault="007223E6">
      <w:pPr>
        <w:jc w:val="both"/>
        <w:rPr>
          <w:rFonts w:ascii="Book Antiqua" w:eastAsia="MS Mincho;ＭＳ 明朝" w:hAnsi="Book Antiqua" w:cs="Book Antiqua"/>
          <w:sz w:val="24"/>
          <w:szCs w:val="24"/>
          <w:lang w:val="sr-Latn-CS"/>
        </w:rPr>
      </w:pPr>
    </w:p>
    <w:p w14:paraId="53306596" w14:textId="77777777" w:rsidR="007223E6" w:rsidRDefault="007223E6">
      <w:pPr>
        <w:jc w:val="both"/>
        <w:rPr>
          <w:rFonts w:ascii="Book Antiqua" w:hAnsi="Book Antiqua" w:cs="Book Antiqua"/>
          <w:sz w:val="24"/>
          <w:szCs w:val="24"/>
          <w:lang w:val="sr-Latn-CS"/>
        </w:rPr>
      </w:pPr>
    </w:p>
    <w:p w14:paraId="02B60230" w14:textId="77777777" w:rsidR="006D4500" w:rsidRPr="00F54C2F" w:rsidRDefault="006D4500">
      <w:pPr>
        <w:jc w:val="both"/>
        <w:rPr>
          <w:rFonts w:ascii="Book Antiqua" w:hAnsi="Book Antiqua" w:cs="Book Antiqua"/>
          <w:sz w:val="24"/>
          <w:szCs w:val="24"/>
          <w:lang w:val="sr-Latn-CS"/>
        </w:rPr>
      </w:pPr>
    </w:p>
    <w:p w14:paraId="1B7EA4FC" w14:textId="77777777" w:rsidR="007223E6" w:rsidRPr="00F54C2F" w:rsidRDefault="00B154B1" w:rsidP="00637289">
      <w:pPr>
        <w:pStyle w:val="Default"/>
        <w:numPr>
          <w:ilvl w:val="0"/>
          <w:numId w:val="3"/>
        </w:numPr>
        <w:spacing w:line="276" w:lineRule="auto"/>
        <w:jc w:val="both"/>
        <w:rPr>
          <w:rFonts w:cs="Times New Roman"/>
          <w:b/>
          <w:bCs/>
          <w:lang w:val="sr-Latn-CS"/>
        </w:rPr>
      </w:pPr>
      <w:r w:rsidRPr="00F54C2F">
        <w:rPr>
          <w:rFonts w:cs="Times New Roman"/>
          <w:b/>
          <w:bCs/>
          <w:lang w:val="sr-Latn-CS"/>
        </w:rPr>
        <w:t>Potrebn</w:t>
      </w:r>
      <w:r w:rsidR="00637289">
        <w:rPr>
          <w:rFonts w:cs="Times New Roman"/>
          <w:b/>
          <w:bCs/>
          <w:lang w:val="sr-Latn-CS"/>
        </w:rPr>
        <w:t>i dokumenti</w:t>
      </w:r>
      <w:r w:rsidRPr="00F54C2F">
        <w:rPr>
          <w:rFonts w:cs="Times New Roman"/>
          <w:b/>
          <w:bCs/>
          <w:lang w:val="sr-Latn-CS"/>
        </w:rPr>
        <w:t xml:space="preserve"> za </w:t>
      </w:r>
      <w:r w:rsidR="00637289">
        <w:rPr>
          <w:rFonts w:cs="Times New Roman"/>
          <w:b/>
          <w:bCs/>
          <w:lang w:val="sr-Latn-CS"/>
        </w:rPr>
        <w:t>apliciranje</w:t>
      </w:r>
      <w:r w:rsidRPr="00F54C2F">
        <w:rPr>
          <w:rFonts w:cs="Times New Roman"/>
          <w:b/>
          <w:bCs/>
          <w:lang w:val="sr-Latn-CS"/>
        </w:rPr>
        <w:t xml:space="preserve">: </w:t>
      </w:r>
    </w:p>
    <w:p w14:paraId="648C1E34" w14:textId="77777777" w:rsidR="007223E6" w:rsidRPr="00F54C2F" w:rsidRDefault="007223E6">
      <w:pPr>
        <w:pStyle w:val="Default"/>
        <w:spacing w:line="276" w:lineRule="auto"/>
        <w:ind w:left="360"/>
        <w:jc w:val="both"/>
        <w:rPr>
          <w:rFonts w:cs="Times New Roman"/>
          <w:b/>
          <w:bCs/>
          <w:lang w:val="sr-Latn-CS"/>
        </w:rPr>
      </w:pPr>
    </w:p>
    <w:p w14:paraId="6E6FACBF" w14:textId="77777777" w:rsidR="007223E6" w:rsidRPr="00F54C2F" w:rsidRDefault="00D33A83" w:rsidP="00D33A83">
      <w:pPr>
        <w:pStyle w:val="Default"/>
        <w:numPr>
          <w:ilvl w:val="1"/>
          <w:numId w:val="3"/>
        </w:numPr>
        <w:spacing w:line="276" w:lineRule="auto"/>
        <w:jc w:val="both"/>
        <w:rPr>
          <w:rFonts w:cs="Times New Roman"/>
          <w:bCs/>
          <w:lang w:val="sr-Latn-CS"/>
        </w:rPr>
      </w:pPr>
      <w:r w:rsidRPr="005E116B">
        <w:rPr>
          <w:lang w:val="sr-Latn-CS"/>
        </w:rPr>
        <w:t xml:space="preserve">Dokaz da je </w:t>
      </w:r>
      <w:r>
        <w:rPr>
          <w:lang w:val="sr-Latn-CS"/>
        </w:rPr>
        <w:t xml:space="preserve">subjekt koji aplicira </w:t>
      </w:r>
      <w:r w:rsidRPr="005E116B">
        <w:rPr>
          <w:lang w:val="sr-Latn-CS"/>
        </w:rPr>
        <w:t>registrovan u Republici Kosovo</w:t>
      </w:r>
      <w:r w:rsidR="00B154B1" w:rsidRPr="00F54C2F">
        <w:rPr>
          <w:lang w:val="sr-Latn-CS"/>
        </w:rPr>
        <w:t>;</w:t>
      </w:r>
    </w:p>
    <w:p w14:paraId="4D42FEE4" w14:textId="77777777" w:rsidR="007223E6" w:rsidRPr="00F54C2F" w:rsidRDefault="00D33A83">
      <w:pPr>
        <w:pStyle w:val="Default"/>
        <w:numPr>
          <w:ilvl w:val="1"/>
          <w:numId w:val="3"/>
        </w:numPr>
        <w:spacing w:line="276" w:lineRule="auto"/>
        <w:jc w:val="both"/>
        <w:rPr>
          <w:rFonts w:cs="Times New Roman"/>
          <w:bCs/>
          <w:lang w:val="sr-Latn-CS"/>
        </w:rPr>
      </w:pPr>
      <w:r w:rsidRPr="005E116B">
        <w:rPr>
          <w:lang w:val="sr-Latn-CS"/>
        </w:rPr>
        <w:t xml:space="preserve">Dokaz o aktivnom </w:t>
      </w:r>
      <w:r>
        <w:rPr>
          <w:lang w:val="sr-Latn-CS"/>
        </w:rPr>
        <w:t>žiro</w:t>
      </w:r>
      <w:r w:rsidRPr="005E116B">
        <w:rPr>
          <w:lang w:val="sr-Latn-CS"/>
        </w:rPr>
        <w:t>-računu u jednoj od banaka licenciranih od strane Centralne banke Kosova</w:t>
      </w:r>
      <w:r w:rsidR="00B154B1" w:rsidRPr="00F54C2F">
        <w:rPr>
          <w:lang w:val="sr-Latn-CS"/>
        </w:rPr>
        <w:t>;</w:t>
      </w:r>
    </w:p>
    <w:p w14:paraId="1E395310" w14:textId="77777777" w:rsidR="007223E6" w:rsidRPr="00F54C2F" w:rsidRDefault="00D33A83">
      <w:pPr>
        <w:pStyle w:val="Default"/>
        <w:numPr>
          <w:ilvl w:val="1"/>
          <w:numId w:val="3"/>
        </w:numPr>
        <w:spacing w:line="276" w:lineRule="auto"/>
        <w:jc w:val="both"/>
        <w:rPr>
          <w:rFonts w:cs="Times New Roman"/>
          <w:bCs/>
          <w:lang w:val="sr-Latn-CS"/>
        </w:rPr>
      </w:pPr>
      <w:r w:rsidRPr="005E116B">
        <w:rPr>
          <w:lang w:val="sr-Latn-CS"/>
        </w:rPr>
        <w:t xml:space="preserve">Kopija lične karte ovlašćenog lica subjekta </w:t>
      </w:r>
      <w:r>
        <w:rPr>
          <w:lang w:val="sr-Latn-CS"/>
        </w:rPr>
        <w:t>koji aplicira</w:t>
      </w:r>
      <w:r w:rsidR="00B154B1" w:rsidRPr="00F54C2F">
        <w:rPr>
          <w:lang w:val="sr-Latn-CS"/>
        </w:rPr>
        <w:t xml:space="preserve">; </w:t>
      </w:r>
    </w:p>
    <w:p w14:paraId="18344550" w14:textId="77777777" w:rsidR="007223E6" w:rsidRPr="00F54C2F" w:rsidRDefault="00D33A83">
      <w:pPr>
        <w:pStyle w:val="Default"/>
        <w:numPr>
          <w:ilvl w:val="1"/>
          <w:numId w:val="3"/>
        </w:numPr>
        <w:spacing w:line="276" w:lineRule="auto"/>
        <w:jc w:val="both"/>
        <w:rPr>
          <w:rFonts w:cs="Times New Roman"/>
          <w:bCs/>
          <w:lang w:val="sr-Latn-CS"/>
        </w:rPr>
      </w:pPr>
      <w:r w:rsidRPr="005E116B">
        <w:rPr>
          <w:lang w:val="sr-Latn-CS"/>
        </w:rPr>
        <w:t>Potvrda suda kojom se dokazuje da ovlašćeno lice subjekta nije pod istragom,</w:t>
      </w:r>
      <w:r>
        <w:rPr>
          <w:lang w:val="sr-Latn-CS"/>
        </w:rPr>
        <w:t xml:space="preserve"> potreban je original ne stariji</w:t>
      </w:r>
      <w:r w:rsidRPr="005E116B">
        <w:rPr>
          <w:lang w:val="sr-Latn-CS"/>
        </w:rPr>
        <w:t xml:space="preserve"> od 30 dana</w:t>
      </w:r>
      <w:r w:rsidR="00B154B1" w:rsidRPr="00F54C2F">
        <w:rPr>
          <w:lang w:val="sr-Latn-CS"/>
        </w:rPr>
        <w:t>);</w:t>
      </w:r>
    </w:p>
    <w:p w14:paraId="2853BFE4" w14:textId="77777777" w:rsidR="007223E6" w:rsidRPr="00F54C2F" w:rsidRDefault="00FB66C6">
      <w:pPr>
        <w:pStyle w:val="Default"/>
        <w:numPr>
          <w:ilvl w:val="1"/>
          <w:numId w:val="3"/>
        </w:numPr>
        <w:spacing w:line="276" w:lineRule="auto"/>
        <w:jc w:val="both"/>
        <w:rPr>
          <w:rFonts w:cs="Times New Roman"/>
          <w:bCs/>
          <w:lang w:val="sr-Latn-CS"/>
        </w:rPr>
      </w:pPr>
      <w:r w:rsidRPr="005E116B">
        <w:rPr>
          <w:lang w:val="sr-Latn-CS"/>
        </w:rPr>
        <w:t xml:space="preserve">Kratak opis svrhe učešća, očekivanja i </w:t>
      </w:r>
      <w:r>
        <w:rPr>
          <w:lang w:val="sr-Latn-CS"/>
        </w:rPr>
        <w:t xml:space="preserve">audijencije u </w:t>
      </w:r>
      <w:r w:rsidRPr="005E116B">
        <w:rPr>
          <w:lang w:val="sr-Latn-CS"/>
        </w:rPr>
        <w:t>EXPO 2020</w:t>
      </w:r>
      <w:r w:rsidR="00B154B1" w:rsidRPr="00F54C2F">
        <w:rPr>
          <w:lang w:val="sr-Latn-CS"/>
        </w:rPr>
        <w:t>;</w:t>
      </w:r>
    </w:p>
    <w:p w14:paraId="2FF55FA7" w14:textId="77777777" w:rsidR="007223E6" w:rsidRPr="00F54C2F" w:rsidRDefault="00FB66C6">
      <w:pPr>
        <w:pStyle w:val="Default"/>
        <w:numPr>
          <w:ilvl w:val="1"/>
          <w:numId w:val="3"/>
        </w:numPr>
        <w:spacing w:line="276" w:lineRule="auto"/>
        <w:jc w:val="both"/>
        <w:rPr>
          <w:rFonts w:cs="Times New Roman"/>
          <w:bCs/>
          <w:lang w:val="sr-Latn-CS"/>
        </w:rPr>
      </w:pPr>
      <w:r w:rsidRPr="005E116B">
        <w:rPr>
          <w:lang w:val="sr-Latn-CS"/>
        </w:rPr>
        <w:t>Izjava pod zakletvom</w:t>
      </w:r>
      <w:r w:rsidR="00B154B1" w:rsidRPr="00F54C2F">
        <w:rPr>
          <w:lang w:val="sr-Latn-CS"/>
        </w:rPr>
        <w:t xml:space="preserve">; </w:t>
      </w:r>
      <w:r>
        <w:rPr>
          <w:lang w:val="sr-Latn-CS"/>
        </w:rPr>
        <w:t xml:space="preserve"> </w:t>
      </w:r>
    </w:p>
    <w:p w14:paraId="73634AA1" w14:textId="77777777" w:rsidR="007223E6" w:rsidRPr="00F54C2F" w:rsidRDefault="00FB66C6">
      <w:pPr>
        <w:pStyle w:val="Default"/>
        <w:numPr>
          <w:ilvl w:val="1"/>
          <w:numId w:val="3"/>
        </w:numPr>
        <w:spacing w:line="276" w:lineRule="auto"/>
        <w:jc w:val="both"/>
        <w:rPr>
          <w:rFonts w:cs="Times New Roman"/>
          <w:bCs/>
          <w:lang w:val="sr-Latn-CS"/>
        </w:rPr>
      </w:pPr>
      <w:r w:rsidRPr="005E116B">
        <w:rPr>
          <w:lang w:val="sr-Latn-CS"/>
        </w:rPr>
        <w:t xml:space="preserve">Potvrda o godišnjem prometu </w:t>
      </w:r>
      <w:r>
        <w:rPr>
          <w:lang w:val="sr-Latn-CS"/>
        </w:rPr>
        <w:t xml:space="preserve">subjekta koji aplicira </w:t>
      </w:r>
      <w:r w:rsidRPr="005E116B">
        <w:rPr>
          <w:lang w:val="sr-Latn-CS"/>
        </w:rPr>
        <w:t xml:space="preserve">za fiskalnu 2020. godinu od Poreske </w:t>
      </w:r>
      <w:r>
        <w:rPr>
          <w:lang w:val="sr-Latn-CS"/>
        </w:rPr>
        <w:t>administracije</w:t>
      </w:r>
      <w:r w:rsidRPr="005E116B">
        <w:rPr>
          <w:lang w:val="sr-Latn-CS"/>
        </w:rPr>
        <w:t xml:space="preserve"> Kosova</w:t>
      </w:r>
      <w:r>
        <w:rPr>
          <w:lang w:val="sr-Latn-CS"/>
        </w:rPr>
        <w:t>; i</w:t>
      </w:r>
    </w:p>
    <w:p w14:paraId="4332EED6" w14:textId="77777777" w:rsidR="007223E6" w:rsidRPr="00F54C2F" w:rsidRDefault="00FB66C6" w:rsidP="00FB66C6">
      <w:pPr>
        <w:pStyle w:val="Default"/>
        <w:numPr>
          <w:ilvl w:val="1"/>
          <w:numId w:val="3"/>
        </w:numPr>
        <w:spacing w:line="276" w:lineRule="auto"/>
        <w:jc w:val="both"/>
        <w:rPr>
          <w:rFonts w:cs="Times New Roman"/>
          <w:bCs/>
          <w:lang w:val="sr-Latn-CS"/>
        </w:rPr>
      </w:pPr>
      <w:r w:rsidRPr="005E116B">
        <w:rPr>
          <w:lang w:val="sr-Latn-CS"/>
        </w:rPr>
        <w:t xml:space="preserve">Poreska potvrda subjekta </w:t>
      </w:r>
      <w:r>
        <w:rPr>
          <w:lang w:val="sr-Latn-CS"/>
        </w:rPr>
        <w:t>koji aplicira</w:t>
      </w:r>
      <w:r w:rsidRPr="005E116B">
        <w:rPr>
          <w:lang w:val="sr-Latn-CS"/>
        </w:rPr>
        <w:t xml:space="preserve"> za obaveze izvršene prema Poreskoj </w:t>
      </w:r>
      <w:r>
        <w:rPr>
          <w:lang w:val="sr-Latn-CS"/>
        </w:rPr>
        <w:t>administraciji</w:t>
      </w:r>
      <w:r w:rsidRPr="005E116B">
        <w:rPr>
          <w:lang w:val="sr-Latn-CS"/>
        </w:rPr>
        <w:t xml:space="preserve"> Kosova, ne starija od šest (6) meseci</w:t>
      </w:r>
      <w:r w:rsidR="00B154B1" w:rsidRPr="00F54C2F">
        <w:rPr>
          <w:lang w:val="sr-Latn-CS"/>
        </w:rPr>
        <w:t>.</w:t>
      </w:r>
    </w:p>
    <w:p w14:paraId="14015466" w14:textId="77777777" w:rsidR="007223E6" w:rsidRPr="00F54C2F" w:rsidRDefault="007223E6">
      <w:pPr>
        <w:pStyle w:val="Default"/>
        <w:spacing w:line="276" w:lineRule="auto"/>
        <w:ind w:left="972"/>
        <w:jc w:val="both"/>
        <w:rPr>
          <w:rFonts w:cs="Times New Roman"/>
          <w:bCs/>
          <w:lang w:val="sr-Latn-CS"/>
        </w:rPr>
      </w:pPr>
    </w:p>
    <w:p w14:paraId="120F7991" w14:textId="77777777" w:rsidR="007223E6" w:rsidRPr="00F54C2F" w:rsidRDefault="00A86687">
      <w:pPr>
        <w:pStyle w:val="ListParagraph"/>
        <w:numPr>
          <w:ilvl w:val="0"/>
          <w:numId w:val="1"/>
        </w:numPr>
        <w:spacing w:after="0" w:line="276" w:lineRule="auto"/>
        <w:ind w:right="26"/>
        <w:jc w:val="both"/>
        <w:rPr>
          <w:rFonts w:ascii="Book Antiqua" w:eastAsia="MS Mincho;ＭＳ 明朝" w:hAnsi="Book Antiqua" w:cs="Book Antiqua"/>
          <w:b/>
          <w:sz w:val="24"/>
          <w:szCs w:val="24"/>
          <w:lang w:val="sr-Latn-CS"/>
        </w:rPr>
      </w:pPr>
      <w:r>
        <w:rPr>
          <w:rFonts w:ascii="Book Antiqua" w:eastAsia="MS Mincho;ＭＳ 明朝" w:hAnsi="Book Antiqua" w:cs="Book Antiqua"/>
          <w:b/>
          <w:sz w:val="24"/>
          <w:szCs w:val="24"/>
          <w:lang w:val="sr-Latn-CS"/>
        </w:rPr>
        <w:t>Subjekti</w:t>
      </w:r>
      <w:r w:rsidR="00B154B1" w:rsidRPr="00F54C2F">
        <w:rPr>
          <w:rFonts w:ascii="Book Antiqua" w:eastAsia="MS Mincho;ＭＳ 明朝" w:hAnsi="Book Antiqua" w:cs="Book Antiqua"/>
          <w:b/>
          <w:sz w:val="24"/>
          <w:szCs w:val="24"/>
          <w:lang w:val="sr-Latn-CS"/>
        </w:rPr>
        <w:t xml:space="preserve"> koji učestvuju biće odabrani prema sledećim posebnim kriterijumima i prema bodovanju:</w:t>
      </w:r>
    </w:p>
    <w:p w14:paraId="76B75F1A" w14:textId="77777777" w:rsidR="007223E6" w:rsidRPr="00F54C2F" w:rsidRDefault="007223E6">
      <w:pPr>
        <w:pStyle w:val="ListParagraph"/>
        <w:spacing w:after="0" w:line="276" w:lineRule="auto"/>
        <w:ind w:left="360" w:right="26"/>
        <w:jc w:val="both"/>
        <w:rPr>
          <w:rFonts w:ascii="Book Antiqua" w:eastAsia="MS Mincho;ＭＳ 明朝" w:hAnsi="Book Antiqua" w:cs="Book Antiqua"/>
          <w:b/>
          <w:sz w:val="24"/>
          <w:szCs w:val="24"/>
          <w:lang w:val="sr-Latn-CS"/>
        </w:rPr>
      </w:pPr>
    </w:p>
    <w:p w14:paraId="73C867D2" w14:textId="06F4E65A" w:rsidR="007223E6" w:rsidRPr="00F54C2F" w:rsidRDefault="00B154B1" w:rsidP="006F61D4">
      <w:pPr>
        <w:pStyle w:val="ListParagraph"/>
        <w:numPr>
          <w:ilvl w:val="1"/>
          <w:numId w:val="1"/>
        </w:numPr>
        <w:spacing w:after="0" w:line="276" w:lineRule="auto"/>
        <w:ind w:right="26"/>
        <w:jc w:val="both"/>
        <w:rPr>
          <w:rFonts w:ascii="Book Antiqua" w:eastAsia="MS Mincho;ＭＳ 明朝" w:hAnsi="Book Antiqua" w:cs="Book Antiqua"/>
          <w:sz w:val="24"/>
          <w:szCs w:val="24"/>
          <w:lang w:val="sr-Latn-CS"/>
        </w:rPr>
      </w:pP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>Uslu</w:t>
      </w:r>
      <w:r w:rsidR="006F61D4">
        <w:rPr>
          <w:rFonts w:ascii="Book Antiqua" w:eastAsia="MS Mincho;ＭＳ 明朝" w:hAnsi="Book Antiqua" w:cs="Book Antiqua"/>
          <w:sz w:val="24"/>
          <w:szCs w:val="24"/>
          <w:lang w:val="sr-Latn-CS"/>
        </w:rPr>
        <w:t>ge ili proizvodi koje će subjek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t </w:t>
      </w:r>
      <w:r w:rsidR="006F61D4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koji aplicira 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ponuditi </w:t>
      </w:r>
      <w:r w:rsidR="006F61D4">
        <w:rPr>
          <w:rFonts w:ascii="Book Antiqua" w:eastAsia="MS Mincho;ＭＳ 明朝" w:hAnsi="Book Antiqua" w:cs="Book Antiqua"/>
          <w:sz w:val="24"/>
          <w:szCs w:val="24"/>
          <w:lang w:val="sr-Latn-CS"/>
        </w:rPr>
        <w:t>audijenciji na međunarodnoj izložbi, maksimalno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 </w:t>
      </w:r>
      <w:r w:rsidR="008E001E">
        <w:rPr>
          <w:rFonts w:ascii="Book Antiqua" w:eastAsia="MS Mincho;ＭＳ 明朝" w:hAnsi="Book Antiqua" w:cs="Book Antiqua"/>
          <w:sz w:val="24"/>
          <w:szCs w:val="24"/>
          <w:lang w:val="sr-Latn-CS"/>
        </w:rPr>
        <w:t>deset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 (</w:t>
      </w:r>
      <w:r w:rsidR="008E001E">
        <w:rPr>
          <w:rFonts w:ascii="Book Antiqua" w:eastAsia="MS Mincho;ＭＳ 明朝" w:hAnsi="Book Antiqua" w:cs="Book Antiqua"/>
          <w:sz w:val="24"/>
          <w:szCs w:val="24"/>
          <w:lang w:val="sr-Latn-CS"/>
        </w:rPr>
        <w:t>10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) </w:t>
      </w:r>
      <w:r w:rsidR="006F61D4">
        <w:rPr>
          <w:rFonts w:ascii="Book Antiqua" w:eastAsia="MS Mincho;ＭＳ 明朝" w:hAnsi="Book Antiqua" w:cs="Book Antiqua"/>
          <w:sz w:val="24"/>
          <w:szCs w:val="24"/>
          <w:lang w:val="sr-Latn-CS"/>
        </w:rPr>
        <w:t>bodova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: </w:t>
      </w:r>
      <w:r w:rsidR="008E001E">
        <w:rPr>
          <w:rFonts w:ascii="Book Antiqua" w:eastAsia="MS Mincho;ＭＳ 明朝" w:hAnsi="Book Antiqua" w:cs="Book Antiqua"/>
          <w:sz w:val="24"/>
          <w:szCs w:val="24"/>
          <w:lang w:val="sr-Latn-CS"/>
        </w:rPr>
        <w:t>tri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 (</w:t>
      </w:r>
      <w:r w:rsidR="008E001E">
        <w:rPr>
          <w:rFonts w:ascii="Book Antiqua" w:eastAsia="MS Mincho;ＭＳ 明朝" w:hAnsi="Book Antiqua" w:cs="Book Antiqua"/>
          <w:sz w:val="24"/>
          <w:szCs w:val="24"/>
          <w:lang w:val="sr-Latn-CS"/>
        </w:rPr>
        <w:t>3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) bod za jednu (1) uslugu ili proizvod, </w:t>
      </w:r>
      <w:r w:rsidR="008E001E">
        <w:rPr>
          <w:rFonts w:ascii="Book Antiqua" w:eastAsia="MS Mincho;ＭＳ 明朝" w:hAnsi="Book Antiqua" w:cs="Book Antiqua"/>
          <w:sz w:val="24"/>
          <w:szCs w:val="24"/>
          <w:lang w:val="sr-Latn-CS"/>
        </w:rPr>
        <w:t>pet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 (</w:t>
      </w:r>
      <w:r w:rsidR="008E001E">
        <w:rPr>
          <w:rFonts w:ascii="Book Antiqua" w:eastAsia="MS Mincho;ＭＳ 明朝" w:hAnsi="Book Antiqua" w:cs="Book Antiqua"/>
          <w:sz w:val="24"/>
          <w:szCs w:val="24"/>
          <w:lang w:val="sr-Latn-CS"/>
        </w:rPr>
        <w:t>5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>) bod</w:t>
      </w:r>
      <w:r w:rsidR="006F61D4">
        <w:rPr>
          <w:rFonts w:ascii="Book Antiqua" w:eastAsia="MS Mincho;ＭＳ 明朝" w:hAnsi="Book Antiqua" w:cs="Book Antiqua"/>
          <w:sz w:val="24"/>
          <w:szCs w:val="24"/>
          <w:lang w:val="sr-Latn-CS"/>
        </w:rPr>
        <w:t>ova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 za dve</w:t>
      </w:r>
      <w:r w:rsidR="00CD5E9A">
        <w:rPr>
          <w:rFonts w:ascii="Book Antiqua" w:eastAsia="MS Mincho;ＭＳ 明朝" w:hAnsi="Book Antiqua" w:cs="Book Antiqua"/>
          <w:sz w:val="24"/>
          <w:szCs w:val="24"/>
          <w:lang w:val="sr-Latn-CS"/>
        </w:rPr>
        <w:t>(2)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 usluge ili proizvoda, </w:t>
      </w:r>
      <w:r w:rsidR="008E001E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sedam 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>(</w:t>
      </w:r>
      <w:r w:rsidR="008E001E">
        <w:rPr>
          <w:rFonts w:ascii="Book Antiqua" w:eastAsia="MS Mincho;ＭＳ 明朝" w:hAnsi="Book Antiqua" w:cs="Book Antiqua"/>
          <w:sz w:val="24"/>
          <w:szCs w:val="24"/>
          <w:lang w:val="sr-Latn-CS"/>
        </w:rPr>
        <w:t>7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)  bodova za tri (3) usluge ili proizvoda, </w:t>
      </w:r>
      <w:r w:rsidR="008E001E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deset 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>(</w:t>
      </w:r>
      <w:r w:rsidR="008E001E">
        <w:rPr>
          <w:rFonts w:ascii="Book Antiqua" w:eastAsia="MS Mincho;ＭＳ 明朝" w:hAnsi="Book Antiqua" w:cs="Book Antiqua"/>
          <w:sz w:val="24"/>
          <w:szCs w:val="24"/>
          <w:lang w:val="sr-Latn-CS"/>
        </w:rPr>
        <w:t>10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>) bodova za četiri (4) usluge ili proizvoda ili više usluga ili proizvoda;</w:t>
      </w:r>
    </w:p>
    <w:p w14:paraId="6A43DB66" w14:textId="77777777" w:rsidR="007223E6" w:rsidRPr="00F54C2F" w:rsidRDefault="00B154B1" w:rsidP="00C13553">
      <w:pPr>
        <w:pStyle w:val="ListParagraph"/>
        <w:numPr>
          <w:ilvl w:val="1"/>
          <w:numId w:val="1"/>
        </w:numPr>
        <w:spacing w:after="0" w:line="276" w:lineRule="auto"/>
        <w:ind w:right="26"/>
        <w:jc w:val="both"/>
        <w:rPr>
          <w:rFonts w:ascii="Book Antiqua" w:eastAsia="MS Mincho;ＭＳ 明朝" w:hAnsi="Book Antiqua" w:cs="Book Antiqua"/>
          <w:sz w:val="24"/>
          <w:szCs w:val="24"/>
          <w:lang w:val="sr-Latn-CS"/>
        </w:rPr>
      </w:pP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Poznavanje stranih jezika i </w:t>
      </w:r>
      <w:r w:rsidR="00C13553">
        <w:rPr>
          <w:rFonts w:ascii="Book Antiqua" w:eastAsia="MS Mincho;ＭＳ 明朝" w:hAnsi="Book Antiqua" w:cs="Book Antiqua"/>
          <w:sz w:val="24"/>
          <w:szCs w:val="24"/>
          <w:lang w:val="sr-Latn-CS"/>
        </w:rPr>
        <w:t>sposobnosti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 prezentacije predstavnika subjekta </w:t>
      </w:r>
      <w:r w:rsidR="00C13553">
        <w:rPr>
          <w:rFonts w:ascii="Book Antiqua" w:eastAsia="MS Mincho;ＭＳ 明朝" w:hAnsi="Book Antiqua" w:cs="Book Antiqua"/>
          <w:sz w:val="24"/>
          <w:szCs w:val="24"/>
          <w:lang w:val="sr-Latn-CS"/>
        </w:rPr>
        <w:t>koji aplicira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>, ukupno maksimalno deset (10) bodova: engleski jezik osam (8) bodova, a ostali jezici dva (2) boda;</w:t>
      </w:r>
    </w:p>
    <w:p w14:paraId="4844B87D" w14:textId="77777777" w:rsidR="007223E6" w:rsidRPr="00F54C2F" w:rsidRDefault="00B154B1" w:rsidP="00C13553">
      <w:pPr>
        <w:pStyle w:val="ListParagraph"/>
        <w:numPr>
          <w:ilvl w:val="1"/>
          <w:numId w:val="1"/>
        </w:numPr>
        <w:spacing w:after="0" w:line="276" w:lineRule="auto"/>
        <w:ind w:right="26"/>
        <w:jc w:val="both"/>
        <w:rPr>
          <w:rFonts w:ascii="Book Antiqua" w:eastAsia="MS Mincho;ＭＳ 明朝" w:hAnsi="Book Antiqua" w:cs="Book Antiqua"/>
          <w:sz w:val="24"/>
          <w:szCs w:val="24"/>
          <w:lang w:val="sr-Latn-CS"/>
        </w:rPr>
      </w:pP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Promotivni materijali </w:t>
      </w:r>
      <w:r w:rsidR="00C13553">
        <w:rPr>
          <w:rFonts w:ascii="Book Antiqua" w:eastAsia="MS Mincho;ＭＳ 明朝" w:hAnsi="Book Antiqua" w:cs="Book Antiqua"/>
          <w:sz w:val="24"/>
          <w:szCs w:val="24"/>
          <w:lang w:val="sr-Latn-CS"/>
        </w:rPr>
        <w:t>subjekta koji aplicira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 na stranim jezicima, </w:t>
      </w:r>
      <w:r w:rsidR="00C13553">
        <w:rPr>
          <w:rFonts w:ascii="Book Antiqua" w:eastAsia="MS Mincho;ＭＳ 明朝" w:hAnsi="Book Antiqua" w:cs="Book Antiqua"/>
          <w:sz w:val="24"/>
          <w:szCs w:val="24"/>
          <w:lang w:val="sr-Latn-CS"/>
        </w:rPr>
        <w:t>maksimalno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 deset (10) bodova</w:t>
      </w:r>
      <w:r w:rsidR="00C13553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  ukupno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>: na engleskom jeziku osam (8) bodova i dva (2) boda na drugim jezicima;</w:t>
      </w:r>
    </w:p>
    <w:p w14:paraId="0F66647C" w14:textId="77777777" w:rsidR="007223E6" w:rsidRPr="00F54C2F" w:rsidRDefault="00C13553" w:rsidP="00C13553">
      <w:pPr>
        <w:pStyle w:val="ListParagraph"/>
        <w:numPr>
          <w:ilvl w:val="1"/>
          <w:numId w:val="1"/>
        </w:numPr>
        <w:spacing w:after="0" w:line="276" w:lineRule="auto"/>
        <w:ind w:right="26"/>
        <w:jc w:val="both"/>
        <w:rPr>
          <w:rFonts w:ascii="Book Antiqua" w:eastAsia="MS Mincho;ＭＳ 明朝" w:hAnsi="Book Antiqua" w:cs="Book Antiqua"/>
          <w:sz w:val="24"/>
          <w:szCs w:val="24"/>
          <w:lang w:val="sr-Latn-CS"/>
        </w:rPr>
      </w:pPr>
      <w:r>
        <w:rPr>
          <w:rFonts w:ascii="Book Antiqua" w:eastAsia="MS Mincho;ＭＳ 明朝" w:hAnsi="Book Antiqua" w:cs="Book Antiqua"/>
          <w:sz w:val="24"/>
          <w:szCs w:val="24"/>
          <w:lang w:val="sr-Latn-CS"/>
        </w:rPr>
        <w:t>Države</w:t>
      </w:r>
      <w:r w:rsidR="00B154B1"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 u koje su usluge ili proizvodi </w:t>
      </w:r>
      <w:r>
        <w:rPr>
          <w:rFonts w:ascii="Book Antiqua" w:eastAsia="MS Mincho;ＭＳ 明朝" w:hAnsi="Book Antiqua" w:cs="Book Antiqua"/>
          <w:sz w:val="24"/>
          <w:szCs w:val="24"/>
          <w:lang w:val="sr-Latn-CS"/>
        </w:rPr>
        <w:t>subjekta koji aplicira</w:t>
      </w:r>
      <w:r w:rsidR="00B154B1"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 izvezeni tokom 2019. i 2020. godine, maksimalno deset (10) bodova ukupno: države članice EU</w:t>
      </w:r>
      <w:r>
        <w:rPr>
          <w:rFonts w:ascii="Book Antiqua" w:eastAsia="MS Mincho;ＭＳ 明朝" w:hAnsi="Book Antiqua" w:cs="Book Antiqua"/>
          <w:sz w:val="24"/>
          <w:szCs w:val="24"/>
          <w:lang w:val="sr-Latn-CS"/>
        </w:rPr>
        <w:t>-a</w:t>
      </w:r>
      <w:r w:rsidR="00B154B1"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 pet (5) bodova, </w:t>
      </w:r>
      <w:r>
        <w:rPr>
          <w:rFonts w:ascii="Book Antiqua" w:eastAsia="MS Mincho;ＭＳ 明朝" w:hAnsi="Book Antiqua" w:cs="Book Antiqua"/>
          <w:sz w:val="24"/>
          <w:szCs w:val="24"/>
          <w:lang w:val="sr-Latn-CS"/>
        </w:rPr>
        <w:t>države</w:t>
      </w:r>
      <w:r w:rsidR="00B154B1"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 zapadnog Balkana koje nisu članice EU (Albanija, Bosna i Hercegovina, Srbija, Crna Gora i Makedonija) tri (3) boda i ostala tržišta dva (2) boda; </w:t>
      </w:r>
    </w:p>
    <w:p w14:paraId="6629B10D" w14:textId="77777777" w:rsidR="007223E6" w:rsidRDefault="007223E6">
      <w:pPr>
        <w:pStyle w:val="ListParagraph"/>
        <w:spacing w:after="0" w:line="276" w:lineRule="auto"/>
        <w:ind w:right="26"/>
        <w:jc w:val="both"/>
        <w:rPr>
          <w:rFonts w:ascii="Book Antiqua" w:eastAsia="MS Mincho;ＭＳ 明朝" w:hAnsi="Book Antiqua" w:cs="Book Antiqua"/>
          <w:sz w:val="24"/>
          <w:szCs w:val="24"/>
          <w:lang w:val="sr-Latn-CS"/>
        </w:rPr>
      </w:pPr>
    </w:p>
    <w:p w14:paraId="687A2EEA" w14:textId="77777777" w:rsidR="00C13553" w:rsidRPr="00F54C2F" w:rsidRDefault="00C13553">
      <w:pPr>
        <w:pStyle w:val="ListParagraph"/>
        <w:spacing w:after="0" w:line="276" w:lineRule="auto"/>
        <w:ind w:right="26"/>
        <w:jc w:val="both"/>
        <w:rPr>
          <w:rFonts w:ascii="Book Antiqua" w:eastAsia="MS Mincho;ＭＳ 明朝" w:hAnsi="Book Antiqua" w:cs="Book Antiqua"/>
          <w:sz w:val="24"/>
          <w:szCs w:val="24"/>
          <w:lang w:val="sr-Latn-CS"/>
        </w:rPr>
      </w:pPr>
    </w:p>
    <w:p w14:paraId="3266B621" w14:textId="32AF09EF" w:rsidR="007223E6" w:rsidRPr="003B4EA2" w:rsidRDefault="00B154B1" w:rsidP="00ED55FF">
      <w:pPr>
        <w:pStyle w:val="ListParagraph"/>
        <w:numPr>
          <w:ilvl w:val="1"/>
          <w:numId w:val="1"/>
        </w:numPr>
        <w:spacing w:after="0" w:line="276" w:lineRule="auto"/>
        <w:ind w:right="26"/>
        <w:jc w:val="both"/>
        <w:rPr>
          <w:lang w:val="sr-Latn-CS"/>
        </w:rPr>
      </w:pP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lastRenderedPageBreak/>
        <w:t xml:space="preserve">Godišnji promet </w:t>
      </w:r>
      <w:r w:rsidR="00ED55FF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subjekta koji aplicira </w:t>
      </w:r>
      <w:r w:rsidRPr="00F54C2F">
        <w:rPr>
          <w:rFonts w:ascii="Book Antiqua" w:eastAsia="MS Mincho;ＭＳ 明朝" w:hAnsi="Book Antiqua" w:cs="Book Antiqua"/>
          <w:sz w:val="24"/>
          <w:szCs w:val="24"/>
          <w:lang w:val="sr-Latn-CS"/>
        </w:rPr>
        <w:t>tokom fiskalne 2020. godine, maksimalno deset (10) bodova: od nula do 500.000 evra četiri (4) boda; preko 500.000 do 1.000.000 evra osam (8) bodova i preko 1.000.000 evra deset (10) bodova;</w:t>
      </w:r>
    </w:p>
    <w:p w14:paraId="1904BD8A" w14:textId="77777777" w:rsidR="0066182F" w:rsidRDefault="0066182F" w:rsidP="003B4EA2">
      <w:pPr>
        <w:spacing w:after="0" w:line="276" w:lineRule="auto"/>
        <w:ind w:right="26"/>
        <w:jc w:val="both"/>
        <w:rPr>
          <w:rFonts w:ascii="Book Antiqua" w:hAnsi="Book Antiqua"/>
          <w:b/>
          <w:bCs/>
          <w:i/>
          <w:iCs/>
          <w:sz w:val="24"/>
          <w:szCs w:val="24"/>
          <w:lang w:val="sr-Latn-CS"/>
        </w:rPr>
      </w:pPr>
    </w:p>
    <w:p w14:paraId="001CF054" w14:textId="0384CEF8" w:rsidR="003B4EA2" w:rsidRPr="003B4EA2" w:rsidRDefault="003B4EA2" w:rsidP="003B4EA2">
      <w:pPr>
        <w:spacing w:after="0" w:line="276" w:lineRule="auto"/>
        <w:ind w:right="26"/>
        <w:jc w:val="both"/>
        <w:rPr>
          <w:rFonts w:ascii="Book Antiqua" w:hAnsi="Book Antiqua"/>
          <w:b/>
          <w:bCs/>
          <w:i/>
          <w:iCs/>
          <w:sz w:val="24"/>
          <w:szCs w:val="24"/>
          <w:lang w:val="sr-Latn-CS"/>
        </w:rPr>
      </w:pPr>
      <w:r w:rsidRPr="003B4EA2">
        <w:rPr>
          <w:rFonts w:ascii="Book Antiqua" w:hAnsi="Book Antiqua"/>
          <w:b/>
          <w:bCs/>
          <w:i/>
          <w:iCs/>
          <w:sz w:val="24"/>
          <w:szCs w:val="24"/>
          <w:lang w:val="sr-Latn-CS"/>
        </w:rPr>
        <w:t xml:space="preserve">Pažnja: tačka 3.5 se ne odnosi na </w:t>
      </w:r>
      <w:r>
        <w:rPr>
          <w:rFonts w:ascii="Book Antiqua" w:hAnsi="Book Antiqua"/>
          <w:b/>
          <w:bCs/>
          <w:i/>
          <w:iCs/>
          <w:sz w:val="24"/>
          <w:szCs w:val="24"/>
          <w:lang w:val="sr-Latn-CS"/>
        </w:rPr>
        <w:t>S</w:t>
      </w:r>
      <w:r w:rsidRPr="003B4EA2">
        <w:rPr>
          <w:rFonts w:ascii="Book Antiqua" w:hAnsi="Book Antiqua"/>
          <w:b/>
          <w:bCs/>
          <w:i/>
          <w:iCs/>
          <w:sz w:val="24"/>
          <w:szCs w:val="24"/>
          <w:lang w:val="sr-Latn-CS"/>
        </w:rPr>
        <w:t>tart-</w:t>
      </w:r>
      <w:r>
        <w:rPr>
          <w:rFonts w:ascii="Book Antiqua" w:hAnsi="Book Antiqua"/>
          <w:b/>
          <w:bCs/>
          <w:i/>
          <w:iCs/>
          <w:sz w:val="24"/>
          <w:szCs w:val="24"/>
          <w:lang w:val="sr-Latn-CS"/>
        </w:rPr>
        <w:t>U</w:t>
      </w:r>
      <w:r w:rsidRPr="003B4EA2">
        <w:rPr>
          <w:rFonts w:ascii="Book Antiqua" w:hAnsi="Book Antiqua"/>
          <w:b/>
          <w:bCs/>
          <w:i/>
          <w:iCs/>
          <w:sz w:val="24"/>
          <w:szCs w:val="24"/>
          <w:lang w:val="sr-Latn-CS"/>
        </w:rPr>
        <w:t xml:space="preserve">p preduzeća. </w:t>
      </w:r>
      <w:r>
        <w:rPr>
          <w:rFonts w:ascii="Book Antiqua" w:hAnsi="Book Antiqua"/>
          <w:b/>
          <w:bCs/>
          <w:i/>
          <w:iCs/>
          <w:sz w:val="24"/>
          <w:szCs w:val="24"/>
          <w:lang w:val="sr-Latn-CS"/>
        </w:rPr>
        <w:t>Start-Up</w:t>
      </w:r>
      <w:r w:rsidRPr="003B4EA2">
        <w:rPr>
          <w:rFonts w:ascii="Book Antiqua" w:hAnsi="Book Antiqua"/>
          <w:b/>
          <w:bCs/>
          <w:i/>
          <w:iCs/>
          <w:sz w:val="24"/>
          <w:szCs w:val="24"/>
          <w:lang w:val="sr-Latn-CS"/>
        </w:rPr>
        <w:t xml:space="preserve"> preduzeća moraju dostaviti godišnji promet za fiskalnu 2020 godinu.</w:t>
      </w:r>
    </w:p>
    <w:p w14:paraId="2965D1C7" w14:textId="77777777" w:rsidR="007223E6" w:rsidRPr="00F54C2F" w:rsidRDefault="007223E6">
      <w:pPr>
        <w:jc w:val="both"/>
        <w:rPr>
          <w:rFonts w:ascii="Book Antiqua" w:eastAsia="MS Mincho;ＭＳ 明朝" w:hAnsi="Book Antiqua" w:cs="Book Antiqua"/>
          <w:sz w:val="24"/>
          <w:szCs w:val="24"/>
          <w:lang w:val="sr-Latn-CS"/>
        </w:rPr>
      </w:pPr>
    </w:p>
    <w:p w14:paraId="422D8534" w14:textId="205B458A" w:rsidR="007223E6" w:rsidRPr="0056523A" w:rsidRDefault="00B154B1" w:rsidP="007C6D59">
      <w:pPr>
        <w:jc w:val="both"/>
        <w:rPr>
          <w:lang w:val="sr-Latn-CS"/>
        </w:rPr>
      </w:pPr>
      <w:r w:rsidRPr="0056523A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Subjekti koji iskažu interesovanje za </w:t>
      </w:r>
      <w:r w:rsidR="001F08DA" w:rsidRPr="0056523A">
        <w:rPr>
          <w:rFonts w:ascii="Book Antiqua" w:eastAsia="MS Mincho;ＭＳ 明朝" w:hAnsi="Book Antiqua" w:cs="Book Antiqua"/>
          <w:sz w:val="24"/>
          <w:szCs w:val="24"/>
          <w:lang w:val="sr-Latn-CS"/>
        </w:rPr>
        <w:t>apliciranje</w:t>
      </w:r>
      <w:r w:rsidRPr="0056523A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 za učešće na međunarodnoj izložbi EXPO 2020 Dubai, moraju popuniti </w:t>
      </w:r>
      <w:r w:rsidR="001F08DA" w:rsidRPr="0056523A">
        <w:rPr>
          <w:rFonts w:ascii="Book Antiqua" w:eastAsia="MS Mincho;ＭＳ 明朝" w:hAnsi="Book Antiqua" w:cs="Book Antiqua"/>
          <w:sz w:val="24"/>
          <w:szCs w:val="24"/>
          <w:lang w:val="sr-Latn-CS"/>
        </w:rPr>
        <w:t>aplikaciju</w:t>
      </w:r>
      <w:r w:rsidRPr="0056523A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 i poslati je u najkraćem mogućem roku do </w:t>
      </w:r>
      <w:r w:rsidR="008D0C70" w:rsidRPr="0056523A">
        <w:rPr>
          <w:rFonts w:ascii="Book Antiqua" w:eastAsia="MS Mincho;ＭＳ 明朝" w:hAnsi="Book Antiqua" w:cs="Book Antiqua"/>
          <w:sz w:val="24"/>
          <w:szCs w:val="24"/>
          <w:lang w:val="sr-Latn-CS"/>
        </w:rPr>
        <w:t>12</w:t>
      </w:r>
      <w:r w:rsidRPr="0056523A">
        <w:rPr>
          <w:rFonts w:ascii="Book Antiqua" w:eastAsia="MS Mincho;ＭＳ 明朝" w:hAnsi="Book Antiqua" w:cs="Book Antiqua"/>
          <w:sz w:val="24"/>
          <w:szCs w:val="24"/>
          <w:lang w:val="sr-Latn-CS"/>
        </w:rPr>
        <w:t>. novembar 2021. u 16.00 časova</w:t>
      </w:r>
      <w:r w:rsidRPr="0056523A">
        <w:rPr>
          <w:rFonts w:ascii="Book Antiqua" w:eastAsia="MS Mincho;ＭＳ 明朝" w:hAnsi="Book Antiqua" w:cs="Book Antiqua"/>
          <w:color w:val="FF0000"/>
          <w:sz w:val="24"/>
          <w:szCs w:val="24"/>
          <w:lang w:val="sr-Latn-CS"/>
        </w:rPr>
        <w:t xml:space="preserve"> </w:t>
      </w:r>
      <w:r w:rsidR="007C6D59" w:rsidRPr="0056523A">
        <w:rPr>
          <w:rFonts w:ascii="Book Antiqua" w:eastAsia="MS Mincho;ＭＳ 明朝" w:hAnsi="Book Antiqua" w:cs="Book Antiqua"/>
          <w:sz w:val="24"/>
          <w:szCs w:val="24"/>
          <w:lang w:val="sr-Latn-CS"/>
        </w:rPr>
        <w:t>u kancelariji Arhive</w:t>
      </w:r>
      <w:r w:rsidRPr="0056523A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 Ministarstva industrije, preduzetništva i trgovine, </w:t>
      </w:r>
      <w:r w:rsidR="007C6D59" w:rsidRPr="0056523A">
        <w:rPr>
          <w:rFonts w:ascii="Book Antiqua" w:eastAsia="MS Mincho;ＭＳ 明朝" w:hAnsi="Book Antiqua" w:cs="Book Antiqua"/>
          <w:sz w:val="24"/>
          <w:szCs w:val="24"/>
          <w:lang w:val="sr-Latn-CS"/>
        </w:rPr>
        <w:t>Ul</w:t>
      </w:r>
      <w:r w:rsidRPr="0056523A">
        <w:rPr>
          <w:rFonts w:ascii="Book Antiqua" w:eastAsia="MS Mincho;ＭＳ 明朝" w:hAnsi="Book Antiqua" w:cs="Book Antiqua"/>
          <w:sz w:val="24"/>
          <w:szCs w:val="24"/>
          <w:lang w:val="sr-Latn-CS"/>
        </w:rPr>
        <w:t>. „Arbënor e Astrit Dehari“ br. 12, 10000, Priština, Republika Kosovo.</w:t>
      </w:r>
    </w:p>
    <w:p w14:paraId="675BE16C" w14:textId="77777777" w:rsidR="007223E6" w:rsidRPr="0056523A" w:rsidRDefault="00B154B1" w:rsidP="007C6D59">
      <w:pPr>
        <w:jc w:val="both"/>
        <w:rPr>
          <w:rFonts w:ascii="Book Antiqua" w:eastAsia="MS Mincho;ＭＳ 明朝" w:hAnsi="Book Antiqua" w:cs="Book Antiqua"/>
          <w:sz w:val="24"/>
          <w:szCs w:val="24"/>
          <w:lang w:val="sr-Latn-CS"/>
        </w:rPr>
      </w:pPr>
      <w:r w:rsidRPr="0056523A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U trenutku </w:t>
      </w:r>
      <w:r w:rsidR="007C6D59" w:rsidRPr="0056523A">
        <w:rPr>
          <w:rFonts w:ascii="Book Antiqua" w:eastAsia="MS Mincho;ＭＳ 明朝" w:hAnsi="Book Antiqua" w:cs="Book Antiqua"/>
          <w:sz w:val="24"/>
          <w:szCs w:val="24"/>
          <w:lang w:val="sr-Latn-CS"/>
        </w:rPr>
        <w:t>apliciranja</w:t>
      </w:r>
      <w:r w:rsidRPr="0056523A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 subjekt prihvata sve odgovornosti, obaveze, kriterijume i dužnosti predviđene važećim zakonodavstvom i posebnim kriterijumima predviđenim ovim javnim pozivom.</w:t>
      </w:r>
    </w:p>
    <w:p w14:paraId="4AE3DBA7" w14:textId="7F424FBE" w:rsidR="007223E6" w:rsidRDefault="007C6D59" w:rsidP="007C6D59">
      <w:pPr>
        <w:spacing w:after="0" w:line="240" w:lineRule="auto"/>
        <w:jc w:val="both"/>
        <w:rPr>
          <w:rFonts w:ascii="Book Antiqua" w:eastAsia="MS Mincho;ＭＳ 明朝" w:hAnsi="Book Antiqua" w:cs="Book Antiqua"/>
          <w:sz w:val="24"/>
          <w:szCs w:val="24"/>
          <w:lang w:val="sr-Latn-CS"/>
        </w:rPr>
      </w:pPr>
      <w:r w:rsidRPr="0056523A">
        <w:rPr>
          <w:rFonts w:ascii="Book Antiqua" w:eastAsia="MS Mincho;ＭＳ 明朝" w:hAnsi="Book Antiqua" w:cs="Book Antiqua"/>
          <w:sz w:val="24"/>
          <w:szCs w:val="24"/>
          <w:lang w:val="sr-Latn-CS"/>
        </w:rPr>
        <w:t>Informacije i upitnik</w:t>
      </w:r>
      <w:r w:rsidR="00B154B1" w:rsidRPr="0056523A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 za izražavanje interesovanja mogu se preuzeti sa </w:t>
      </w:r>
      <w:r w:rsidRPr="0056523A">
        <w:rPr>
          <w:rFonts w:ascii="Book Antiqua" w:eastAsia="MS Mincho;ＭＳ 明朝" w:hAnsi="Book Antiqua" w:cs="Book Antiqua"/>
          <w:sz w:val="24"/>
          <w:szCs w:val="24"/>
          <w:lang w:val="sr-Latn-CS"/>
        </w:rPr>
        <w:t>internet stranica</w:t>
      </w:r>
      <w:r w:rsidR="00B154B1" w:rsidRPr="0056523A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 </w:t>
      </w:r>
      <w:hyperlink r:id="rId7" w:history="1">
        <w:r w:rsidR="008D0C70" w:rsidRPr="0056523A">
          <w:rPr>
            <w:rStyle w:val="Hyperlink"/>
            <w:rFonts w:ascii="Book Antiqua" w:eastAsia="MS Mincho" w:hAnsi="Book Antiqua"/>
            <w:sz w:val="24"/>
            <w:szCs w:val="24"/>
            <w:lang w:val="sq-AL"/>
          </w:rPr>
          <w:t>www.mint.rks-gov.net</w:t>
        </w:r>
      </w:hyperlink>
      <w:r w:rsidR="008D0C70" w:rsidRPr="0056523A">
        <w:rPr>
          <w:rFonts w:ascii="Book Antiqua" w:eastAsia="MS Mincho" w:hAnsi="Book Antiqua"/>
          <w:sz w:val="24"/>
          <w:szCs w:val="24"/>
          <w:lang w:val="sq-AL"/>
        </w:rPr>
        <w:t xml:space="preserve">, www. kiesa.rks-gov.net, </w:t>
      </w:r>
      <w:hyperlink r:id="rId8" w:history="1">
        <w:r w:rsidR="008D0C70" w:rsidRPr="0056523A">
          <w:rPr>
            <w:rStyle w:val="Hyperlink"/>
            <w:rFonts w:ascii="Book Antiqua" w:eastAsia="MS Mincho" w:hAnsi="Book Antiqua"/>
            <w:sz w:val="24"/>
            <w:szCs w:val="24"/>
            <w:lang w:val="sq-AL"/>
          </w:rPr>
          <w:t>www.mfa-ks.net</w:t>
        </w:r>
      </w:hyperlink>
      <w:r w:rsidR="008D0C70" w:rsidRPr="0056523A">
        <w:rPr>
          <w:rFonts w:ascii="Book Antiqua" w:eastAsia="MS Mincho" w:hAnsi="Book Antiqua"/>
          <w:sz w:val="24"/>
          <w:szCs w:val="24"/>
          <w:lang w:val="sq-AL"/>
        </w:rPr>
        <w:t xml:space="preserve"> </w:t>
      </w:r>
      <w:r w:rsidR="00B154B1" w:rsidRPr="0056523A">
        <w:rPr>
          <w:rFonts w:ascii="Book Antiqua" w:eastAsia="MS Mincho;ＭＳ 明朝" w:hAnsi="Book Antiqua" w:cs="Book Antiqua"/>
          <w:sz w:val="24"/>
          <w:szCs w:val="24"/>
          <w:lang w:val="sr-Latn-CS"/>
        </w:rPr>
        <w:t xml:space="preserve">ili na e-mail adresu </w:t>
      </w:r>
      <w:hyperlink r:id="rId9">
        <w:r w:rsidR="00B154B1" w:rsidRPr="0056523A">
          <w:rPr>
            <w:rStyle w:val="Hyperlink"/>
            <w:rFonts w:ascii="Book Antiqua" w:eastAsia="MS Mincho;ＭＳ 明朝" w:hAnsi="Book Antiqua" w:cs="Book Antiqua"/>
            <w:sz w:val="24"/>
            <w:szCs w:val="24"/>
            <w:lang w:val="sr-Latn-CS"/>
          </w:rPr>
          <w:t>export.kiesa@rks-gov.net</w:t>
        </w:r>
      </w:hyperlink>
      <w:r w:rsidR="00B154B1" w:rsidRPr="0056523A">
        <w:rPr>
          <w:rFonts w:ascii="Book Antiqua" w:eastAsia="MS Mincho;ＭＳ 明朝" w:hAnsi="Book Antiqua" w:cs="Book Antiqua"/>
          <w:sz w:val="24"/>
          <w:szCs w:val="24"/>
          <w:lang w:val="sr-Latn-CS"/>
        </w:rPr>
        <w:t>.</w:t>
      </w:r>
    </w:p>
    <w:p w14:paraId="3F2D7D59" w14:textId="77777777" w:rsidR="008D0C70" w:rsidRPr="00F54C2F" w:rsidRDefault="008D0C70" w:rsidP="007C6D59">
      <w:pPr>
        <w:spacing w:after="0" w:line="240" w:lineRule="auto"/>
        <w:jc w:val="both"/>
        <w:rPr>
          <w:rFonts w:ascii="Book Antiqua" w:eastAsia="MS Mincho;ＭＳ 明朝" w:hAnsi="Book Antiqua" w:cs="Book Antiqua"/>
          <w:sz w:val="24"/>
          <w:szCs w:val="24"/>
          <w:lang w:val="sr-Latn-CS"/>
        </w:rPr>
      </w:pPr>
    </w:p>
    <w:p w14:paraId="226E7355" w14:textId="77777777" w:rsidR="007223E6" w:rsidRPr="00F54C2F" w:rsidRDefault="007223E6">
      <w:pPr>
        <w:spacing w:after="0" w:line="240" w:lineRule="auto"/>
        <w:jc w:val="both"/>
        <w:rPr>
          <w:rFonts w:ascii="Book Antiqua" w:eastAsia="MS Mincho;ＭＳ 明朝" w:hAnsi="Book Antiqua" w:cs="Book Antiqua"/>
          <w:sz w:val="24"/>
          <w:szCs w:val="24"/>
          <w:lang w:val="sr-Latn-CS"/>
        </w:rPr>
      </w:pPr>
    </w:p>
    <w:p w14:paraId="024B394F" w14:textId="77777777" w:rsidR="007223E6" w:rsidRPr="00F54C2F" w:rsidRDefault="007C6D59" w:rsidP="007C6D59">
      <w:pPr>
        <w:spacing w:after="0" w:line="240" w:lineRule="auto"/>
        <w:jc w:val="both"/>
        <w:rPr>
          <w:rFonts w:ascii="Book Antiqua" w:eastAsia="MS Mincho;ＭＳ 明朝" w:hAnsi="Book Antiqua" w:cs="Book Antiqua"/>
          <w:i/>
          <w:sz w:val="24"/>
          <w:szCs w:val="24"/>
          <w:lang w:val="sr-Latn-CS"/>
        </w:rPr>
      </w:pPr>
      <w:r>
        <w:rPr>
          <w:rFonts w:ascii="Book Antiqua" w:eastAsia="MS Mincho;ＭＳ 明朝" w:hAnsi="Book Antiqua" w:cs="Book Antiqua"/>
          <w:b/>
          <w:i/>
          <w:sz w:val="24"/>
          <w:szCs w:val="24"/>
          <w:lang w:val="sr-Latn-CS"/>
        </w:rPr>
        <w:t>Dodatne informacije: Svi biznisi koji ne budu izabrani,</w:t>
      </w:r>
      <w:r w:rsidR="00B154B1" w:rsidRPr="00F54C2F">
        <w:rPr>
          <w:rFonts w:ascii="Book Antiqua" w:eastAsia="MS Mincho;ＭＳ 明朝" w:hAnsi="Book Antiqua" w:cs="Book Antiqua"/>
          <w:b/>
          <w:i/>
          <w:sz w:val="24"/>
          <w:szCs w:val="24"/>
          <w:lang w:val="sr-Latn-CS"/>
        </w:rPr>
        <w:t xml:space="preserve"> imaju pravo da učestvuju o svom trošku u punoj koordinaciji sa Ministarstvom industrije, preduzetništva i trgovine. </w:t>
      </w:r>
    </w:p>
    <w:p w14:paraId="1AE22C5F" w14:textId="77777777" w:rsidR="007223E6" w:rsidRPr="00F54C2F" w:rsidRDefault="007223E6">
      <w:pPr>
        <w:spacing w:after="0" w:line="240" w:lineRule="auto"/>
        <w:jc w:val="both"/>
        <w:rPr>
          <w:rFonts w:ascii="Book Antiqua" w:eastAsia="MS Mincho;ＭＳ 明朝" w:hAnsi="Book Antiqua" w:cs="Book Antiqua"/>
          <w:i/>
          <w:sz w:val="24"/>
          <w:szCs w:val="24"/>
          <w:lang w:val="sr-Latn-CS"/>
        </w:rPr>
      </w:pPr>
    </w:p>
    <w:sectPr w:rsidR="007223E6" w:rsidRPr="00F54C2F">
      <w:headerReference w:type="default" r:id="rId10"/>
      <w:pgSz w:w="12240" w:h="15840"/>
      <w:pgMar w:top="1440" w:right="1440" w:bottom="1440" w:left="144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9BA34" w14:textId="77777777" w:rsidR="001F596D" w:rsidRDefault="001F596D">
      <w:pPr>
        <w:spacing w:after="0" w:line="240" w:lineRule="auto"/>
      </w:pPr>
      <w:r>
        <w:separator/>
      </w:r>
    </w:p>
  </w:endnote>
  <w:endnote w:type="continuationSeparator" w:id="0">
    <w:p w14:paraId="019C3443" w14:textId="77777777" w:rsidR="001F596D" w:rsidRDefault="001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;ＭＳ 明朝">
    <w:panose1 w:val="00000000000000000000"/>
    <w:charset w:val="8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0D2A4" w14:textId="77777777" w:rsidR="001F596D" w:rsidRDefault="001F596D">
      <w:pPr>
        <w:spacing w:after="0" w:line="240" w:lineRule="auto"/>
      </w:pPr>
      <w:r>
        <w:separator/>
      </w:r>
    </w:p>
  </w:footnote>
  <w:footnote w:type="continuationSeparator" w:id="0">
    <w:p w14:paraId="71B69BE5" w14:textId="77777777" w:rsidR="001F596D" w:rsidRDefault="001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889DF" w14:textId="77777777" w:rsidR="007223E6" w:rsidRDefault="00B154B1">
    <w:pPr>
      <w:pStyle w:val="Header"/>
      <w:rPr>
        <w:lang w:eastAsia="en-US"/>
      </w:rPr>
    </w:pPr>
    <w:r>
      <w:rPr>
        <w:noProof/>
        <w:lang w:val="sq-AL" w:eastAsia="sq-AL"/>
      </w:rPr>
      <w:drawing>
        <wp:anchor distT="0" distB="0" distL="114935" distR="114935" simplePos="0" relativeHeight="4" behindDoc="1" locked="0" layoutInCell="0" allowOverlap="1" wp14:anchorId="29C33302" wp14:editId="40889032">
          <wp:simplePos x="0" y="0"/>
          <wp:positionH relativeFrom="column">
            <wp:posOffset>4061460</wp:posOffset>
          </wp:positionH>
          <wp:positionV relativeFrom="paragraph">
            <wp:posOffset>83820</wp:posOffset>
          </wp:positionV>
          <wp:extent cx="2005965" cy="3962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-87" r="-17" b="-87"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q-AL" w:eastAsia="sq-AL"/>
      </w:rPr>
      <w:drawing>
        <wp:anchor distT="0" distB="0" distL="114935" distR="114935" simplePos="0" relativeHeight="7" behindDoc="0" locked="0" layoutInCell="0" allowOverlap="1" wp14:anchorId="5210980B" wp14:editId="61A5BB94">
          <wp:simplePos x="0" y="0"/>
          <wp:positionH relativeFrom="margin">
            <wp:posOffset>-635</wp:posOffset>
          </wp:positionH>
          <wp:positionV relativeFrom="paragraph">
            <wp:posOffset>-330200</wp:posOffset>
          </wp:positionV>
          <wp:extent cx="828675" cy="783590"/>
          <wp:effectExtent l="0" t="0" r="0" b="0"/>
          <wp:wrapTight wrapText="bothSides">
            <wp:wrapPolygon edited="0">
              <wp:start x="-246" y="0"/>
              <wp:lineTo x="-246" y="21334"/>
              <wp:lineTo x="21600" y="21334"/>
              <wp:lineTo x="21600" y="0"/>
              <wp:lineTo x="-246" y="0"/>
            </wp:wrapPolygon>
          </wp:wrapTight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6" t="-6" r="-6" b="-6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q-AL" w:eastAsia="sq-AL"/>
      </w:rPr>
      <mc:AlternateContent>
        <mc:Choice Requires="wps">
          <w:drawing>
            <wp:anchor distT="0" distB="0" distL="114935" distR="114935" simplePos="0" relativeHeight="10" behindDoc="1" locked="0" layoutInCell="0" allowOverlap="1" wp14:anchorId="2E1A17F3" wp14:editId="3A15906E">
              <wp:simplePos x="0" y="0"/>
              <wp:positionH relativeFrom="column">
                <wp:posOffset>792480</wp:posOffset>
              </wp:positionH>
              <wp:positionV relativeFrom="paragraph">
                <wp:posOffset>-30480</wp:posOffset>
              </wp:positionV>
              <wp:extent cx="3108960" cy="571500"/>
              <wp:effectExtent l="0" t="0" r="0" b="0"/>
              <wp:wrapNone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571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852ACEA" w14:textId="77777777" w:rsidR="00B154B1" w:rsidRPr="008E5D48" w:rsidRDefault="00B154B1" w:rsidP="00B154B1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Ministria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Industrisë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Ndërmarrësisë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dhe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Tregtisë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Ministarstvo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za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Industriju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Preduzetništva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Trgovine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 </w:t>
                          </w:r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br/>
                            <w:t>Ministry of Industry Entrepreneurship and Trade</w:t>
                          </w:r>
                        </w:p>
                        <w:p w14:paraId="46C08EDC" w14:textId="77777777" w:rsidR="007223E6" w:rsidRDefault="007223E6"/>
                      </w:txbxContent>
                    </wps:txbx>
                    <wps:bodyPr lIns="92075" tIns="46355" rIns="92075" bIns="46355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E1A17F3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62.4pt;margin-top:-2.4pt;width:244.8pt;height:45pt;z-index:-50331647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" o:allowincell="f" stroked="f">
              <v:fill opacity="0"/>
              <v:textbox inset="7.25pt,3.65pt,7.25pt,3.65pt">
                <w:txbxContent>
                  <w:p w14:paraId="6852ACEA" w14:textId="77777777" w:rsidR="00B154B1" w:rsidRPr="008E5D48" w:rsidRDefault="00B154B1" w:rsidP="00B154B1">
                    <w:pPr>
                      <w:rPr>
                        <w:rFonts w:cstheme="minorHAnsi"/>
                        <w:sz w:val="18"/>
                        <w:szCs w:val="18"/>
                      </w:rPr>
                    </w:pPr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>Ministria Industrisë, Ndërmarrësisë dhe Tregtisë</w:t>
                    </w:r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br/>
                      <w:t>Ministarstvo za Industriju, Preduzetništva i Trgovine </w:t>
                    </w:r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br/>
                      <w:t>Ministry of Industry Entrepreneurship and Trade</w:t>
                    </w:r>
                  </w:p>
                  <w:p w14:paraId="46C08EDC" w14:textId="77777777" w:rsidR="007223E6" w:rsidRDefault="007223E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F5B99"/>
    <w:multiLevelType w:val="hybridMultilevel"/>
    <w:tmpl w:val="6EFE8A54"/>
    <w:lvl w:ilvl="0" w:tplc="26722722">
      <w:numFmt w:val="bullet"/>
      <w:lvlText w:val="-"/>
      <w:lvlJc w:val="left"/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C659E"/>
    <w:multiLevelType w:val="multilevel"/>
    <w:tmpl w:val="385EFE4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0"/>
        <w:sz w:val="24"/>
        <w:szCs w:val="24"/>
        <w:lang w:val="sq-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D71E4C"/>
    <w:multiLevelType w:val="multilevel"/>
    <w:tmpl w:val="1868CA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  <w:rPr>
        <w:rFonts w:eastAsia="MS Mincho;ＭＳ 明朝"/>
        <w:lang w:val="sq-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5BA64082"/>
    <w:multiLevelType w:val="multilevel"/>
    <w:tmpl w:val="153A947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Book Antiqua" w:eastAsia="MS Mincho;ＭＳ 明朝" w:hAnsi="Book Antiqua" w:cs="Book Antiqua"/>
        <w:sz w:val="24"/>
        <w:szCs w:val="24"/>
        <w:lang w:val="sq-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Book Antiqua" w:eastAsia="MS Mincho;ＭＳ 明朝" w:hAnsi="Book Antiqua" w:cs="Book Antiqua"/>
        <w:sz w:val="24"/>
        <w:szCs w:val="24"/>
        <w:lang w:val="sq-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Book Antiqua" w:eastAsia="MS Mincho;ＭＳ 明朝" w:hAnsi="Book Antiqua" w:cs="Book Antiqua"/>
        <w:sz w:val="24"/>
        <w:szCs w:val="24"/>
        <w:lang w:val="sq-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ascii="Book Antiqua" w:eastAsia="MS Mincho;ＭＳ 明朝" w:hAnsi="Book Antiqua" w:cs="Book Antiqua"/>
        <w:sz w:val="24"/>
        <w:szCs w:val="24"/>
        <w:lang w:val="sq-A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Book Antiqua" w:eastAsia="MS Mincho;ＭＳ 明朝" w:hAnsi="Book Antiqua" w:cs="Book Antiqua"/>
        <w:sz w:val="24"/>
        <w:szCs w:val="24"/>
        <w:lang w:val="sq-A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ascii="Book Antiqua" w:eastAsia="MS Mincho;ＭＳ 明朝" w:hAnsi="Book Antiqua" w:cs="Book Antiqua"/>
        <w:sz w:val="24"/>
        <w:szCs w:val="24"/>
        <w:lang w:val="sq-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Book Antiqua" w:eastAsia="MS Mincho;ＭＳ 明朝" w:hAnsi="Book Antiqua" w:cs="Book Antiqua"/>
        <w:sz w:val="24"/>
        <w:szCs w:val="24"/>
        <w:lang w:val="sq-A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ascii="Book Antiqua" w:eastAsia="MS Mincho;ＭＳ 明朝" w:hAnsi="Book Antiqua" w:cs="Book Antiqua"/>
        <w:sz w:val="24"/>
        <w:szCs w:val="24"/>
        <w:lang w:val="sq-A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ascii="Book Antiqua" w:eastAsia="MS Mincho;ＭＳ 明朝" w:hAnsi="Book Antiqua" w:cs="Book Antiqua"/>
        <w:sz w:val="24"/>
        <w:szCs w:val="24"/>
        <w:lang w:val="sq-AL"/>
      </w:rPr>
    </w:lvl>
  </w:abstractNum>
  <w:abstractNum w:abstractNumId="4">
    <w:nsid w:val="7D7C3F2B"/>
    <w:multiLevelType w:val="multilevel"/>
    <w:tmpl w:val="251605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E6"/>
    <w:rsid w:val="00025F1F"/>
    <w:rsid w:val="000E5E91"/>
    <w:rsid w:val="000E6F9C"/>
    <w:rsid w:val="00130003"/>
    <w:rsid w:val="0013078E"/>
    <w:rsid w:val="001927DA"/>
    <w:rsid w:val="001F08DA"/>
    <w:rsid w:val="001F596D"/>
    <w:rsid w:val="00326A68"/>
    <w:rsid w:val="003B4EA2"/>
    <w:rsid w:val="004C4C28"/>
    <w:rsid w:val="004D5692"/>
    <w:rsid w:val="0056523A"/>
    <w:rsid w:val="005D6AD8"/>
    <w:rsid w:val="00637289"/>
    <w:rsid w:val="00641BEB"/>
    <w:rsid w:val="0066182F"/>
    <w:rsid w:val="006D4500"/>
    <w:rsid w:val="006F61D4"/>
    <w:rsid w:val="007223E6"/>
    <w:rsid w:val="0078585C"/>
    <w:rsid w:val="007C5EF3"/>
    <w:rsid w:val="007C6D59"/>
    <w:rsid w:val="00864728"/>
    <w:rsid w:val="008D0C70"/>
    <w:rsid w:val="008E001E"/>
    <w:rsid w:val="00981BCC"/>
    <w:rsid w:val="0099350F"/>
    <w:rsid w:val="00A65FEA"/>
    <w:rsid w:val="00A86687"/>
    <w:rsid w:val="00AC3DAB"/>
    <w:rsid w:val="00B154B1"/>
    <w:rsid w:val="00B20836"/>
    <w:rsid w:val="00B543C2"/>
    <w:rsid w:val="00B85EC2"/>
    <w:rsid w:val="00B8738D"/>
    <w:rsid w:val="00BC25E4"/>
    <w:rsid w:val="00BC4D07"/>
    <w:rsid w:val="00BE5568"/>
    <w:rsid w:val="00C00621"/>
    <w:rsid w:val="00C13553"/>
    <w:rsid w:val="00CD5E9A"/>
    <w:rsid w:val="00D33A83"/>
    <w:rsid w:val="00D71635"/>
    <w:rsid w:val="00D90A2C"/>
    <w:rsid w:val="00E20B27"/>
    <w:rsid w:val="00E858D4"/>
    <w:rsid w:val="00ED2048"/>
    <w:rsid w:val="00ED55FF"/>
    <w:rsid w:val="00F103D0"/>
    <w:rsid w:val="00F54C2F"/>
    <w:rsid w:val="00FA339F"/>
    <w:rsid w:val="00FB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AD40D"/>
  <w15:docId w15:val="{0BED3613-AAC2-442C-8424-84743F2B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Book Antiqua" w:eastAsia="MS Mincho;ＭＳ 明朝" w:hAnsi="Book Antiqua" w:cs="Book Antiqua"/>
      <w:sz w:val="24"/>
      <w:szCs w:val="24"/>
      <w:lang w:val="sq-AL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Calibri" w:eastAsia="Calibri" w:hAnsi="Calibri" w:cs="Calibri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Calibri" w:eastAsia="Calibri" w:hAnsi="Calibri" w:cs="Calibri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color w:val="000000"/>
      <w:sz w:val="24"/>
      <w:szCs w:val="24"/>
      <w:lang w:val="sq-A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rFonts w:eastAsia="MS Mincho;ＭＳ 明朝"/>
      <w:lang w:val="sq-AL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TextChar">
    <w:name w:val="Comment Text Char"/>
    <w:qFormat/>
    <w:rPr>
      <w:sz w:val="20"/>
      <w:szCs w:val="20"/>
    </w:rPr>
  </w:style>
  <w:style w:type="character" w:customStyle="1" w:styleId="CommentSubjectChar">
    <w:name w:val="Comment Subject Char"/>
    <w:qFormat/>
    <w:rPr>
      <w:b/>
      <w:bCs/>
      <w:sz w:val="20"/>
      <w:szCs w:val="20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styleId="Hyperlink">
    <w:name w:val="Hyperlink"/>
    <w:rPr>
      <w:color w:val="0563C1"/>
      <w:u w:val="single"/>
    </w:rPr>
  </w:style>
  <w:style w:type="character" w:customStyle="1" w:styleId="UnresolvedMention1">
    <w:name w:val="Unresolved Mention1"/>
    <w:qFormat/>
    <w:rPr>
      <w:color w:val="605E5C"/>
      <w:shd w:val="clear" w:color="auto" w:fill="E1DFDD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UnresolvedMention2">
    <w:name w:val="Unresolved Mention2"/>
    <w:qFormat/>
    <w:rPr>
      <w:color w:val="605E5C"/>
      <w:shd w:val="clear" w:color="auto" w:fill="E1DFDD"/>
    </w:rPr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BodyTextChar">
    <w:name w:val="Body Text Char"/>
    <w:qFormat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Heading">
    <w:name w:val="Heading"/>
    <w:basedOn w:val="Normal"/>
    <w:next w:val="BodyText"/>
    <w:qFormat/>
    <w:pPr>
      <w:widowControl w:val="0"/>
      <w:autoSpaceDE w:val="0"/>
      <w:spacing w:after="0" w:line="240" w:lineRule="auto"/>
      <w:ind w:left="1856" w:right="1092" w:hanging="624"/>
    </w:pPr>
    <w:rPr>
      <w:rFonts w:ascii="Times New Roman" w:eastAsia="Times New Roman" w:hAnsi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pPr>
      <w:widowControl w:val="0"/>
      <w:autoSpaceDE w:val="0"/>
      <w:spacing w:after="0" w:line="240" w:lineRule="auto"/>
      <w:ind w:left="1863"/>
    </w:pPr>
    <w:rPr>
      <w:rFonts w:ascii="Times New Roman" w:eastAsia="Times New Roman" w:hAnsi="Times New Roman"/>
      <w:sz w:val="24"/>
      <w:szCs w:val="24"/>
      <w:lang w:val="sq-AL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wkonormal">
    <w:name w:val="wkonormal"/>
    <w:basedOn w:val="Normal"/>
    <w:qFormat/>
    <w:pPr>
      <w:spacing w:after="0" w:line="240" w:lineRule="atLeast"/>
    </w:pPr>
    <w:rPr>
      <w:rFonts w:ascii="Trebuchet MS" w:hAnsi="Trebuchet MS" w:cs="Calibri"/>
      <w:color w:val="000000"/>
      <w:sz w:val="20"/>
      <w:szCs w:val="20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bidi="ar-SA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customStyle="1" w:styleId="Default">
    <w:name w:val="Default"/>
    <w:qFormat/>
    <w:pPr>
      <w:autoSpaceDE w:val="0"/>
    </w:pPr>
    <w:rPr>
      <w:rFonts w:ascii="Book Antiqua" w:eastAsia="MS Mincho;ＭＳ 明朝" w:hAnsi="Book Antiqua" w:cs="Book Antiqua"/>
      <w:color w:val="000000"/>
      <w:lang w:bidi="ar-SA"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a-k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t.rks-gov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xport.kiesa@rks-gov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Laura Zherka</cp:lastModifiedBy>
  <cp:revision>5</cp:revision>
  <dcterms:created xsi:type="dcterms:W3CDTF">2021-11-01T07:03:00Z</dcterms:created>
  <dcterms:modified xsi:type="dcterms:W3CDTF">2021-11-04T09:48:00Z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2021-10-29T09:54:00Z</dcterms:created>
  <dc:creator>Durim Hoxha</dc:creator>
  <dc:description/>
  <cp:keywords> </cp:keywords>
  <dc:language>en-US</dc:language>
  <cp:lastModifiedBy>Laura Zherka</cp:lastModifiedBy>
  <dcterms:modified xsi:type="dcterms:W3CDTF">2021-10-29T09:54:00Z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