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67C" w:rsidRPr="00996FFD" w:rsidRDefault="000E067C" w:rsidP="000E067C">
      <w:pPr>
        <w:spacing w:after="0" w:line="240" w:lineRule="auto"/>
        <w:jc w:val="center"/>
        <w:rPr>
          <w:rFonts w:ascii="Times New Roman" w:eastAsia="MS Mincho" w:hAnsi="Times New Roman" w:cs="Times New Roman"/>
          <w:b/>
          <w:sz w:val="24"/>
          <w:szCs w:val="24"/>
        </w:rPr>
      </w:pPr>
      <w:r w:rsidRPr="00996FFD">
        <w:rPr>
          <w:rFonts w:ascii="Times New Roman" w:hAnsi="Times New Roman" w:cs="Times New Roman"/>
          <w:noProof/>
          <w:sz w:val="24"/>
          <w:szCs w:val="24"/>
          <w:lang w:val="en-US"/>
        </w:rPr>
        <w:drawing>
          <wp:inline distT="0" distB="0" distL="0" distR="0" wp14:anchorId="098C949C" wp14:editId="712DD1DA">
            <wp:extent cx="657225" cy="752475"/>
            <wp:effectExtent l="0" t="0" r="9525" b="9525"/>
            <wp:docPr id="6" name="Picture 6"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225" cy="752475"/>
                    </a:xfrm>
                    <a:prstGeom prst="rect">
                      <a:avLst/>
                    </a:prstGeom>
                    <a:noFill/>
                    <a:ln>
                      <a:noFill/>
                    </a:ln>
                  </pic:spPr>
                </pic:pic>
              </a:graphicData>
            </a:graphic>
          </wp:inline>
        </w:drawing>
      </w:r>
    </w:p>
    <w:p w:rsidR="000E067C" w:rsidRPr="00996FFD" w:rsidRDefault="000E067C" w:rsidP="000E067C">
      <w:pPr>
        <w:spacing w:after="0" w:line="240" w:lineRule="auto"/>
        <w:jc w:val="center"/>
        <w:rPr>
          <w:rFonts w:ascii="Times New Roman" w:eastAsia="MS Mincho" w:hAnsi="Times New Roman" w:cs="Times New Roman"/>
          <w:b/>
          <w:sz w:val="24"/>
          <w:szCs w:val="24"/>
        </w:rPr>
      </w:pPr>
    </w:p>
    <w:p w:rsidR="000E067C" w:rsidRPr="000E067C" w:rsidRDefault="000E067C" w:rsidP="000E067C">
      <w:pPr>
        <w:spacing w:after="0" w:line="240" w:lineRule="auto"/>
        <w:jc w:val="center"/>
        <w:rPr>
          <w:rFonts w:ascii="Times New Roman" w:eastAsia="MS Mincho" w:hAnsi="Times New Roman" w:cs="Times New Roman"/>
          <w:b/>
          <w:sz w:val="18"/>
          <w:szCs w:val="18"/>
        </w:rPr>
      </w:pPr>
      <w:r w:rsidRPr="000E067C">
        <w:rPr>
          <w:rFonts w:ascii="Times New Roman" w:eastAsia="MS Mincho" w:hAnsi="Times New Roman" w:cs="Times New Roman"/>
          <w:b/>
          <w:sz w:val="18"/>
          <w:szCs w:val="18"/>
        </w:rPr>
        <w:t>REPUBLIKA E KOSOVËS</w:t>
      </w:r>
      <w:r w:rsidRPr="000E067C">
        <w:rPr>
          <w:rFonts w:ascii="Times New Roman" w:eastAsia="Batang" w:hAnsi="Times New Roman" w:cs="Times New Roman"/>
          <w:b/>
          <w:sz w:val="18"/>
          <w:szCs w:val="18"/>
        </w:rPr>
        <w:t>/REPUBLIKA KOSOVA/</w:t>
      </w:r>
      <w:r w:rsidRPr="000E067C">
        <w:rPr>
          <w:rFonts w:ascii="Times New Roman" w:eastAsia="MS Mincho" w:hAnsi="Times New Roman" w:cs="Times New Roman"/>
          <w:b/>
          <w:sz w:val="18"/>
          <w:szCs w:val="18"/>
        </w:rPr>
        <w:t xml:space="preserve"> REPUBLIC OF KOSOVO</w:t>
      </w:r>
    </w:p>
    <w:p w:rsidR="000E067C" w:rsidRPr="000E067C" w:rsidRDefault="000E067C" w:rsidP="000E067C">
      <w:pPr>
        <w:spacing w:after="0" w:line="240" w:lineRule="auto"/>
        <w:jc w:val="center"/>
        <w:rPr>
          <w:rFonts w:ascii="Times New Roman" w:eastAsia="MS Mincho" w:hAnsi="Times New Roman" w:cs="Times New Roman"/>
          <w:b/>
          <w:bCs/>
          <w:sz w:val="18"/>
          <w:szCs w:val="18"/>
        </w:rPr>
      </w:pPr>
      <w:r w:rsidRPr="000E067C">
        <w:rPr>
          <w:rFonts w:ascii="Times New Roman" w:eastAsia="MS Mincho" w:hAnsi="Times New Roman" w:cs="Times New Roman"/>
          <w:b/>
          <w:bCs/>
          <w:sz w:val="18"/>
          <w:szCs w:val="18"/>
        </w:rPr>
        <w:t>QEVERIA E KOSOVËS / VLADA KOSOVA /GOVERNMENT OF KOSOVA</w:t>
      </w:r>
    </w:p>
    <w:p w:rsidR="000E067C" w:rsidRPr="000E067C" w:rsidRDefault="000E067C" w:rsidP="000E067C">
      <w:pPr>
        <w:spacing w:after="0" w:line="240" w:lineRule="auto"/>
        <w:jc w:val="center"/>
        <w:rPr>
          <w:rFonts w:ascii="Times New Roman" w:eastAsia="MS Mincho" w:hAnsi="Times New Roman" w:cs="Times New Roman"/>
          <w:b/>
          <w:bCs/>
          <w:sz w:val="18"/>
          <w:szCs w:val="18"/>
        </w:rPr>
      </w:pPr>
    </w:p>
    <w:p w:rsidR="000E067C" w:rsidRPr="000E067C" w:rsidRDefault="000E067C" w:rsidP="000E067C">
      <w:pPr>
        <w:pBdr>
          <w:bottom w:val="single" w:sz="12" w:space="1" w:color="auto"/>
        </w:pBdr>
        <w:spacing w:after="0" w:line="240" w:lineRule="auto"/>
        <w:jc w:val="center"/>
        <w:rPr>
          <w:rFonts w:ascii="Times New Roman" w:eastAsia="MS Mincho" w:hAnsi="Times New Roman" w:cs="Times New Roman"/>
          <w:b/>
          <w:caps/>
          <w:sz w:val="18"/>
          <w:szCs w:val="18"/>
        </w:rPr>
      </w:pPr>
      <w:r w:rsidRPr="000E067C">
        <w:rPr>
          <w:rFonts w:ascii="Times New Roman" w:eastAsia="MS Mincho" w:hAnsi="Times New Roman" w:cs="Times New Roman"/>
          <w:b/>
          <w:bCs/>
          <w:caps/>
          <w:sz w:val="18"/>
          <w:szCs w:val="18"/>
        </w:rPr>
        <w:t>Ministria e Tregtisë dhe industrisë/ ministarsvo trgovine industrije</w:t>
      </w:r>
      <w:r w:rsidRPr="000E067C">
        <w:rPr>
          <w:rFonts w:ascii="Times New Roman" w:eastAsia="MS Mincho" w:hAnsi="Times New Roman" w:cs="Times New Roman"/>
          <w:b/>
          <w:caps/>
          <w:sz w:val="18"/>
          <w:szCs w:val="18"/>
        </w:rPr>
        <w:t>/</w:t>
      </w:r>
    </w:p>
    <w:p w:rsidR="000E067C" w:rsidRDefault="000E067C" w:rsidP="000E067C">
      <w:pPr>
        <w:pBdr>
          <w:bottom w:val="single" w:sz="12" w:space="1" w:color="auto"/>
        </w:pBdr>
        <w:spacing w:after="0" w:line="240" w:lineRule="auto"/>
        <w:jc w:val="center"/>
        <w:rPr>
          <w:rFonts w:ascii="Times New Roman" w:eastAsia="MS Mincho" w:hAnsi="Times New Roman" w:cs="Times New Roman"/>
          <w:b/>
          <w:caps/>
          <w:sz w:val="18"/>
          <w:szCs w:val="18"/>
        </w:rPr>
      </w:pPr>
      <w:r w:rsidRPr="000E067C">
        <w:rPr>
          <w:rFonts w:ascii="Times New Roman" w:eastAsia="MS Mincho" w:hAnsi="Times New Roman" w:cs="Times New Roman"/>
          <w:b/>
          <w:caps/>
          <w:sz w:val="18"/>
          <w:szCs w:val="18"/>
        </w:rPr>
        <w:t>MINSTRY OF trade and industry</w:t>
      </w:r>
    </w:p>
    <w:p w:rsidR="000E067C" w:rsidRPr="000E067C" w:rsidRDefault="000E067C" w:rsidP="000E067C">
      <w:pPr>
        <w:pBdr>
          <w:bottom w:val="single" w:sz="12" w:space="1" w:color="auto"/>
        </w:pBdr>
        <w:spacing w:after="0" w:line="240" w:lineRule="auto"/>
        <w:jc w:val="center"/>
        <w:rPr>
          <w:rFonts w:ascii="Times New Roman" w:eastAsia="MS Mincho" w:hAnsi="Times New Roman" w:cs="Times New Roman"/>
          <w:b/>
          <w:caps/>
          <w:sz w:val="18"/>
          <w:szCs w:val="18"/>
        </w:rPr>
      </w:pPr>
    </w:p>
    <w:p w:rsidR="000E067C" w:rsidRPr="000E067C" w:rsidRDefault="000E067C" w:rsidP="000E067C">
      <w:pPr>
        <w:pBdr>
          <w:bottom w:val="single" w:sz="12" w:space="1" w:color="auto"/>
        </w:pBdr>
        <w:spacing w:after="0" w:line="240" w:lineRule="auto"/>
        <w:jc w:val="center"/>
        <w:rPr>
          <w:rFonts w:ascii="Times New Roman" w:eastAsia="MS Mincho" w:hAnsi="Times New Roman" w:cs="Times New Roman"/>
          <w:b/>
          <w:caps/>
          <w:sz w:val="18"/>
          <w:szCs w:val="18"/>
        </w:rPr>
      </w:pPr>
      <w:r w:rsidRPr="000E067C">
        <w:rPr>
          <w:rFonts w:ascii="Times New Roman" w:eastAsia="MS Mincho" w:hAnsi="Times New Roman" w:cs="Times New Roman"/>
          <w:b/>
          <w:caps/>
          <w:sz w:val="18"/>
          <w:szCs w:val="18"/>
        </w:rPr>
        <w:t>Departamenti i tregtise</w:t>
      </w:r>
      <w:r>
        <w:rPr>
          <w:rFonts w:ascii="Times New Roman" w:eastAsia="MS Mincho" w:hAnsi="Times New Roman" w:cs="Times New Roman"/>
          <w:b/>
          <w:caps/>
          <w:sz w:val="18"/>
          <w:szCs w:val="18"/>
        </w:rPr>
        <w:t xml:space="preserve"> / Department trgovine / department of trade</w:t>
      </w:r>
    </w:p>
    <w:p w:rsidR="000E067C" w:rsidRDefault="000E067C" w:rsidP="00035A78">
      <w:pPr>
        <w:spacing w:after="0" w:line="240" w:lineRule="auto"/>
        <w:jc w:val="both"/>
        <w:rPr>
          <w:rFonts w:ascii="Times New Roman" w:hAnsi="Times New Roman" w:cs="Times New Roman"/>
          <w:b/>
          <w:sz w:val="24"/>
          <w:szCs w:val="24"/>
          <w:lang w:val="en-GB"/>
        </w:rPr>
      </w:pPr>
    </w:p>
    <w:p w:rsidR="000E067C" w:rsidRDefault="000E067C" w:rsidP="00035A78">
      <w:pPr>
        <w:spacing w:after="0" w:line="240" w:lineRule="auto"/>
        <w:jc w:val="both"/>
        <w:rPr>
          <w:rFonts w:ascii="Times New Roman" w:hAnsi="Times New Roman" w:cs="Times New Roman"/>
          <w:b/>
          <w:sz w:val="24"/>
          <w:szCs w:val="24"/>
          <w:lang w:val="en-GB"/>
        </w:rPr>
      </w:pPr>
    </w:p>
    <w:p w:rsidR="000E067C" w:rsidRPr="00C43E66" w:rsidRDefault="00C43E66" w:rsidP="00C43E66">
      <w:pPr>
        <w:spacing w:after="0" w:line="240" w:lineRule="auto"/>
        <w:jc w:val="center"/>
        <w:rPr>
          <w:rFonts w:ascii="Times New Roman" w:hAnsi="Times New Roman" w:cs="Times New Roman"/>
          <w:b/>
          <w:sz w:val="28"/>
          <w:szCs w:val="28"/>
          <w:lang w:val="en-GB"/>
        </w:rPr>
      </w:pPr>
      <w:r w:rsidRPr="00C43E66">
        <w:rPr>
          <w:rFonts w:ascii="Times New Roman" w:hAnsi="Times New Roman" w:cs="Times New Roman"/>
          <w:b/>
          <w:sz w:val="28"/>
          <w:szCs w:val="28"/>
          <w:lang w:val="en-GB"/>
        </w:rPr>
        <w:t>Analys</w:t>
      </w:r>
      <w:r>
        <w:rPr>
          <w:rFonts w:ascii="Times New Roman" w:hAnsi="Times New Roman" w:cs="Times New Roman"/>
          <w:b/>
          <w:sz w:val="28"/>
          <w:szCs w:val="28"/>
          <w:lang w:val="en-GB"/>
        </w:rPr>
        <w:t>is</w:t>
      </w:r>
      <w:r w:rsidRPr="00C43E66">
        <w:rPr>
          <w:rFonts w:ascii="Times New Roman" w:hAnsi="Times New Roman" w:cs="Times New Roman"/>
          <w:b/>
          <w:sz w:val="28"/>
          <w:szCs w:val="28"/>
          <w:lang w:val="en-GB"/>
        </w:rPr>
        <w:t xml:space="preserve"> on CEFTA Market Access Database on Barriers</w:t>
      </w:r>
    </w:p>
    <w:p w:rsidR="00C43E66" w:rsidRDefault="00C43E66" w:rsidP="00035A78">
      <w:pPr>
        <w:spacing w:after="0" w:line="240" w:lineRule="auto"/>
        <w:jc w:val="both"/>
        <w:rPr>
          <w:rFonts w:ascii="Times New Roman" w:hAnsi="Times New Roman" w:cs="Times New Roman"/>
          <w:b/>
          <w:sz w:val="24"/>
          <w:szCs w:val="24"/>
          <w:lang w:val="en-GB"/>
        </w:rPr>
      </w:pPr>
    </w:p>
    <w:p w:rsidR="00C43E66" w:rsidRDefault="00C43E66" w:rsidP="00035A78">
      <w:pPr>
        <w:spacing w:after="0" w:line="240" w:lineRule="auto"/>
        <w:jc w:val="both"/>
        <w:rPr>
          <w:rFonts w:ascii="Times New Roman" w:hAnsi="Times New Roman" w:cs="Times New Roman"/>
          <w:b/>
          <w:sz w:val="24"/>
          <w:szCs w:val="24"/>
          <w:lang w:val="en-GB"/>
        </w:rPr>
      </w:pPr>
    </w:p>
    <w:p w:rsidR="00405016" w:rsidRPr="000E067C" w:rsidRDefault="00035A78" w:rsidP="000E067C">
      <w:pPr>
        <w:pStyle w:val="ListParagraph"/>
        <w:numPr>
          <w:ilvl w:val="0"/>
          <w:numId w:val="10"/>
        </w:numPr>
        <w:spacing w:after="0" w:line="240" w:lineRule="auto"/>
        <w:jc w:val="both"/>
        <w:rPr>
          <w:rFonts w:ascii="Times New Roman" w:hAnsi="Times New Roman" w:cs="Times New Roman"/>
          <w:b/>
          <w:sz w:val="24"/>
          <w:szCs w:val="24"/>
          <w:lang w:val="en-GB"/>
        </w:rPr>
      </w:pPr>
      <w:r w:rsidRPr="000E067C">
        <w:rPr>
          <w:rFonts w:ascii="Times New Roman" w:hAnsi="Times New Roman" w:cs="Times New Roman"/>
          <w:b/>
          <w:sz w:val="24"/>
          <w:szCs w:val="24"/>
          <w:lang w:val="en-GB"/>
        </w:rPr>
        <w:t>Introduction</w:t>
      </w:r>
    </w:p>
    <w:p w:rsidR="00405016" w:rsidRPr="00405016" w:rsidRDefault="00405016" w:rsidP="00405016">
      <w:pPr>
        <w:pStyle w:val="ListParagraph"/>
        <w:spacing w:after="0" w:line="240" w:lineRule="auto"/>
        <w:ind w:left="0"/>
        <w:jc w:val="both"/>
        <w:rPr>
          <w:rFonts w:ascii="Times New Roman" w:hAnsi="Times New Roman" w:cs="Times New Roman"/>
          <w:b/>
          <w:sz w:val="26"/>
          <w:szCs w:val="24"/>
          <w:lang w:val="en-GB"/>
        </w:rPr>
      </w:pPr>
    </w:p>
    <w:p w:rsidR="00DF4845" w:rsidRPr="00DF4845" w:rsidRDefault="00035A78" w:rsidP="00405016">
      <w:pPr>
        <w:spacing w:after="0" w:line="360" w:lineRule="auto"/>
        <w:jc w:val="both"/>
        <w:rPr>
          <w:rFonts w:ascii="Times New Roman" w:hAnsi="Times New Roman" w:cs="Times New Roman"/>
          <w:sz w:val="24"/>
          <w:szCs w:val="24"/>
          <w:lang w:val="en-GB"/>
        </w:rPr>
      </w:pPr>
      <w:r w:rsidRPr="00491B58">
        <w:rPr>
          <w:rFonts w:ascii="Times New Roman" w:hAnsi="Times New Roman" w:cs="Times New Roman"/>
          <w:sz w:val="24"/>
          <w:szCs w:val="24"/>
          <w:lang w:val="en-GB"/>
        </w:rPr>
        <w:t xml:space="preserve">Since 2009 CEFTA Parties have been systematically identifying and solving barriers in trade in goods. In 2012 the Parties decided to expand the scope to a broader definition of the barriers including services and to make the methodology internationally comparable while applying the UNCTAD classification of </w:t>
      </w:r>
      <w:r w:rsidR="00A122A9" w:rsidRPr="00491B58">
        <w:rPr>
          <w:rFonts w:ascii="Times New Roman" w:hAnsi="Times New Roman" w:cs="Times New Roman"/>
          <w:sz w:val="24"/>
          <w:szCs w:val="24"/>
          <w:lang w:val="en-GB"/>
        </w:rPr>
        <w:t>non-tariff</w:t>
      </w:r>
      <w:r w:rsidRPr="00491B58">
        <w:rPr>
          <w:rFonts w:ascii="Times New Roman" w:hAnsi="Times New Roman" w:cs="Times New Roman"/>
          <w:sz w:val="24"/>
          <w:szCs w:val="24"/>
          <w:lang w:val="en-GB"/>
        </w:rPr>
        <w:t xml:space="preserve"> measures. In 2013 Parties </w:t>
      </w:r>
      <w:r w:rsidR="007C5F60">
        <w:rPr>
          <w:rFonts w:ascii="Times New Roman" w:hAnsi="Times New Roman" w:cs="Times New Roman"/>
          <w:sz w:val="24"/>
          <w:szCs w:val="24"/>
          <w:lang w:val="en-GB"/>
        </w:rPr>
        <w:t>were</w:t>
      </w:r>
      <w:r w:rsidRPr="00491B58">
        <w:rPr>
          <w:rFonts w:ascii="Times New Roman" w:hAnsi="Times New Roman" w:cs="Times New Roman"/>
          <w:sz w:val="24"/>
          <w:szCs w:val="24"/>
          <w:lang w:val="en-GB"/>
        </w:rPr>
        <w:t xml:space="preserve"> eager to go online with a new feature of the database which allows for more standardised identification and reporting on the barriers and establishes an interaction between the recorded market access barriers and the trade volume of the product s</w:t>
      </w:r>
      <w:r w:rsidR="00EA6D70" w:rsidRPr="00491B58">
        <w:rPr>
          <w:rFonts w:ascii="Times New Roman" w:hAnsi="Times New Roman" w:cs="Times New Roman"/>
          <w:sz w:val="24"/>
          <w:szCs w:val="24"/>
          <w:lang w:val="en-GB"/>
        </w:rPr>
        <w:t>ubject to the relevant barriers.</w:t>
      </w:r>
      <w:r w:rsidR="000353B6" w:rsidRPr="00491B58">
        <w:rPr>
          <w:rFonts w:ascii="Times New Roman" w:hAnsi="Times New Roman" w:cs="Times New Roman"/>
          <w:sz w:val="24"/>
          <w:szCs w:val="24"/>
          <w:lang w:val="en-GB"/>
        </w:rPr>
        <w:t xml:space="preserve"> </w:t>
      </w:r>
      <w:r w:rsidR="007C5F60" w:rsidRPr="007C5F60">
        <w:rPr>
          <w:rFonts w:ascii="Times New Roman" w:hAnsi="Times New Roman" w:cs="Times New Roman"/>
          <w:sz w:val="24"/>
          <w:szCs w:val="24"/>
          <w:lang w:val="en-GB"/>
        </w:rPr>
        <w:t xml:space="preserve">The issue of unjustifiable barriers to trade among the CEFTA countries is a recurring theme in official CEFTA meetings and a source of friction and constant complaints by traders, both exporters and importers. A number of studies have shown that inter-regional trade is well below potential, and such situation, in a tariff free context, is partly attributed to the existence of unjustifiable obstacles to trade. This situation persist despite the fact that CEFTA includes provisions for the elimination of non-tariff-barriers (NTBs) and that this task falls within the mandate of institutional structures created under CEFTA: the Subcommittee on Technical Barriers to Trade (TBTs) and NTBs, the Subcommittee on Agriculture and Sanitary and </w:t>
      </w:r>
      <w:proofErr w:type="spellStart"/>
      <w:r w:rsidR="007C5F60" w:rsidRPr="007C5F60">
        <w:rPr>
          <w:rFonts w:ascii="Times New Roman" w:hAnsi="Times New Roman" w:cs="Times New Roman"/>
          <w:sz w:val="24"/>
          <w:szCs w:val="24"/>
          <w:lang w:val="en-GB"/>
        </w:rPr>
        <w:t>Phyto</w:t>
      </w:r>
      <w:proofErr w:type="spellEnd"/>
      <w:r w:rsidR="00080C9B">
        <w:rPr>
          <w:rFonts w:ascii="Times New Roman" w:hAnsi="Times New Roman" w:cs="Times New Roman"/>
          <w:sz w:val="24"/>
          <w:szCs w:val="24"/>
          <w:lang w:val="en-GB"/>
        </w:rPr>
        <w:t>-</w:t>
      </w:r>
      <w:r w:rsidR="007C5F60" w:rsidRPr="007C5F60">
        <w:rPr>
          <w:rFonts w:ascii="Times New Roman" w:hAnsi="Times New Roman" w:cs="Times New Roman"/>
          <w:sz w:val="24"/>
          <w:szCs w:val="24"/>
          <w:lang w:val="en-GB"/>
        </w:rPr>
        <w:t>sanitary (SPS) Issues, and the Subcommittee on Customs and Rules of Origin. Furthermore, in this area a main objective to be achieved through the” Consolidated Multi-annual Action Plan for Regional Economic Area in the Western Balkans 6”(MAP) is the creation of NTMs and TDMs-free region.</w:t>
      </w:r>
      <w:r w:rsidR="00A72A77">
        <w:rPr>
          <w:rFonts w:ascii="Times New Roman" w:hAnsi="Times New Roman" w:cs="Times New Roman"/>
          <w:sz w:val="24"/>
          <w:szCs w:val="24"/>
          <w:lang w:val="en-GB"/>
        </w:rPr>
        <w:t xml:space="preserve"> </w:t>
      </w:r>
      <w:r w:rsidR="00DF4845" w:rsidRPr="00DF4845">
        <w:rPr>
          <w:rFonts w:ascii="Times New Roman" w:hAnsi="Times New Roman" w:cs="Times New Roman"/>
          <w:sz w:val="24"/>
          <w:szCs w:val="24"/>
          <w:lang w:val="en-US"/>
        </w:rPr>
        <w:t xml:space="preserve">Kosovo exporters are confronting obstacles of different nature when exporting to CEFTA markets. There are two main types of obstacles: those emerging from political considerations related to not recognition of Kosovo’s independence by three members of CEFTA: Serbia, Bosnia and </w:t>
      </w:r>
      <w:r w:rsidR="00DF4845" w:rsidRPr="00DF4845">
        <w:rPr>
          <w:rFonts w:ascii="Times New Roman" w:hAnsi="Times New Roman" w:cs="Times New Roman"/>
          <w:sz w:val="24"/>
          <w:szCs w:val="24"/>
          <w:lang w:val="en-US"/>
        </w:rPr>
        <w:lastRenderedPageBreak/>
        <w:t>Her</w:t>
      </w:r>
      <w:r w:rsidR="00080C9B">
        <w:rPr>
          <w:rFonts w:ascii="Times New Roman" w:hAnsi="Times New Roman" w:cs="Times New Roman"/>
          <w:sz w:val="24"/>
          <w:szCs w:val="24"/>
          <w:lang w:val="en-US"/>
        </w:rPr>
        <w:t>z</w:t>
      </w:r>
      <w:r w:rsidR="00DF4845" w:rsidRPr="00DF4845">
        <w:rPr>
          <w:rFonts w:ascii="Times New Roman" w:hAnsi="Times New Roman" w:cs="Times New Roman"/>
          <w:sz w:val="24"/>
          <w:szCs w:val="24"/>
          <w:lang w:val="en-US"/>
        </w:rPr>
        <w:t>egovina and Moldova; and procedural obstacles of different nature which are applied by all members of CEFTA.</w:t>
      </w:r>
    </w:p>
    <w:p w:rsidR="00405016" w:rsidRPr="00491B58" w:rsidRDefault="00405016" w:rsidP="00405016">
      <w:pPr>
        <w:spacing w:after="0" w:line="240" w:lineRule="auto"/>
        <w:jc w:val="both"/>
        <w:rPr>
          <w:rFonts w:ascii="Times New Roman" w:hAnsi="Times New Roman" w:cs="Times New Roman"/>
          <w:sz w:val="24"/>
          <w:szCs w:val="24"/>
          <w:lang w:val="en-GB"/>
        </w:rPr>
      </w:pPr>
    </w:p>
    <w:p w:rsidR="000C4DBC" w:rsidRDefault="00035A78" w:rsidP="00035A78">
      <w:pPr>
        <w:pStyle w:val="ListParagraph"/>
        <w:numPr>
          <w:ilvl w:val="0"/>
          <w:numId w:val="10"/>
        </w:numPr>
        <w:spacing w:after="0" w:line="240" w:lineRule="auto"/>
        <w:jc w:val="both"/>
        <w:rPr>
          <w:rFonts w:ascii="Times New Roman" w:hAnsi="Times New Roman" w:cs="Times New Roman"/>
          <w:b/>
          <w:bCs/>
          <w:sz w:val="24"/>
          <w:szCs w:val="24"/>
          <w:lang w:val="en-GB"/>
        </w:rPr>
      </w:pPr>
      <w:r w:rsidRPr="005B1079">
        <w:rPr>
          <w:rFonts w:ascii="Times New Roman" w:hAnsi="Times New Roman" w:cs="Times New Roman"/>
          <w:b/>
          <w:sz w:val="24"/>
          <w:szCs w:val="24"/>
          <w:lang w:val="en-GB"/>
        </w:rPr>
        <w:t xml:space="preserve">An </w:t>
      </w:r>
      <w:r w:rsidRPr="005B1079">
        <w:rPr>
          <w:rFonts w:ascii="Times New Roman" w:hAnsi="Times New Roman" w:cs="Times New Roman"/>
          <w:b/>
          <w:bCs/>
          <w:sz w:val="24"/>
          <w:szCs w:val="24"/>
          <w:lang w:val="en-GB"/>
        </w:rPr>
        <w:t xml:space="preserve">overview of cases recorded in CEFTA MABD </w:t>
      </w:r>
    </w:p>
    <w:p w:rsidR="005B1079" w:rsidRPr="005B1079" w:rsidRDefault="005B1079" w:rsidP="005B1079">
      <w:pPr>
        <w:pStyle w:val="ListParagraph"/>
        <w:spacing w:after="0" w:line="240" w:lineRule="auto"/>
        <w:ind w:left="0"/>
        <w:jc w:val="both"/>
        <w:rPr>
          <w:rFonts w:ascii="Times New Roman" w:hAnsi="Times New Roman" w:cs="Times New Roman"/>
          <w:b/>
          <w:bCs/>
          <w:sz w:val="24"/>
          <w:szCs w:val="24"/>
          <w:lang w:val="en-GB"/>
        </w:rPr>
      </w:pPr>
    </w:p>
    <w:p w:rsidR="001A634F" w:rsidRDefault="00035A78" w:rsidP="005B1079">
      <w:pPr>
        <w:spacing w:after="0" w:line="360" w:lineRule="auto"/>
        <w:jc w:val="both"/>
        <w:rPr>
          <w:rFonts w:ascii="Times New Roman" w:hAnsi="Times New Roman" w:cs="Times New Roman"/>
          <w:sz w:val="24"/>
          <w:szCs w:val="24"/>
          <w:lang w:val="en-GB"/>
        </w:rPr>
      </w:pPr>
      <w:r w:rsidRPr="005B1079">
        <w:rPr>
          <w:rFonts w:ascii="Times New Roman" w:hAnsi="Times New Roman" w:cs="Times New Roman"/>
          <w:sz w:val="24"/>
          <w:szCs w:val="24"/>
          <w:lang w:val="en-GB"/>
        </w:rPr>
        <w:t>It is worth mentioning that in terms of u</w:t>
      </w:r>
      <w:r w:rsidR="001E3315" w:rsidRPr="005B1079">
        <w:rPr>
          <w:rFonts w:ascii="Times New Roman" w:hAnsi="Times New Roman" w:cs="Times New Roman"/>
          <w:sz w:val="24"/>
          <w:szCs w:val="24"/>
          <w:lang w:val="en-GB"/>
        </w:rPr>
        <w:t>pdat</w:t>
      </w:r>
      <w:r w:rsidRPr="005B1079">
        <w:rPr>
          <w:rFonts w:ascii="Times New Roman" w:hAnsi="Times New Roman" w:cs="Times New Roman"/>
          <w:sz w:val="24"/>
          <w:szCs w:val="24"/>
          <w:lang w:val="en-GB"/>
        </w:rPr>
        <w:t>ing</w:t>
      </w:r>
      <w:r w:rsidR="001E3315" w:rsidRPr="005B1079">
        <w:rPr>
          <w:rFonts w:ascii="Times New Roman" w:hAnsi="Times New Roman" w:cs="Times New Roman"/>
          <w:sz w:val="24"/>
          <w:szCs w:val="24"/>
          <w:lang w:val="en-GB"/>
        </w:rPr>
        <w:t xml:space="preserve"> of the CEFTA Transparency Pack and its component of Market Access Barriers Database</w:t>
      </w:r>
      <w:r w:rsidRPr="005B1079">
        <w:rPr>
          <w:rFonts w:ascii="Times New Roman" w:hAnsi="Times New Roman" w:cs="Times New Roman"/>
          <w:sz w:val="24"/>
          <w:szCs w:val="24"/>
          <w:lang w:val="en-GB"/>
        </w:rPr>
        <w:t xml:space="preserve"> remains weak from CEFTA members.</w:t>
      </w:r>
      <w:r w:rsidR="00605E2B" w:rsidRPr="005B1079">
        <w:rPr>
          <w:rFonts w:ascii="Times New Roman" w:hAnsi="Times New Roman" w:cs="Times New Roman"/>
          <w:sz w:val="24"/>
          <w:szCs w:val="24"/>
          <w:lang w:val="en-GB"/>
        </w:rPr>
        <w:t xml:space="preserve"> </w:t>
      </w:r>
      <w:r w:rsidR="001C296E" w:rsidRPr="005B1079">
        <w:rPr>
          <w:rFonts w:ascii="Times New Roman" w:hAnsi="Times New Roman" w:cs="Times New Roman"/>
          <w:sz w:val="24"/>
          <w:szCs w:val="24"/>
          <w:lang w:val="en-GB"/>
        </w:rPr>
        <w:t xml:space="preserve">During the chairmanship of Kosovo, some initiatives through the </w:t>
      </w:r>
      <w:r w:rsidR="00AE69CE" w:rsidRPr="005B1079">
        <w:rPr>
          <w:rFonts w:ascii="Times New Roman" w:hAnsi="Times New Roman" w:cs="Times New Roman"/>
          <w:sz w:val="24"/>
          <w:szCs w:val="24"/>
          <w:lang w:val="en-GB"/>
        </w:rPr>
        <w:t xml:space="preserve">Working Group meeting on technical measures </w:t>
      </w:r>
      <w:r w:rsidR="001C296E" w:rsidRPr="005B1079">
        <w:rPr>
          <w:rFonts w:ascii="Times New Roman" w:hAnsi="Times New Roman" w:cs="Times New Roman"/>
          <w:sz w:val="24"/>
          <w:szCs w:val="24"/>
          <w:lang w:val="en-GB"/>
        </w:rPr>
        <w:t>and Subcommittee on Nontariff Measures</w:t>
      </w:r>
      <w:r w:rsidR="00AE69CE" w:rsidRPr="005B1079">
        <w:rPr>
          <w:rStyle w:val="SubtleEmphasis"/>
          <w:rFonts w:ascii="Times New Roman" w:hAnsi="Times New Roman" w:cs="Times New Roman"/>
          <w:color w:val="auto"/>
          <w:sz w:val="24"/>
          <w:szCs w:val="24"/>
          <w:lang w:val="en-GB"/>
        </w:rPr>
        <w:t xml:space="preserve"> </w:t>
      </w:r>
      <w:r w:rsidR="00DE483F">
        <w:rPr>
          <w:rStyle w:val="SubtleEmphasis"/>
          <w:rFonts w:ascii="Times New Roman" w:hAnsi="Times New Roman" w:cs="Times New Roman"/>
          <w:i w:val="0"/>
          <w:color w:val="auto"/>
          <w:sz w:val="24"/>
          <w:szCs w:val="24"/>
          <w:lang w:val="en-GB"/>
        </w:rPr>
        <w:t xml:space="preserve">were </w:t>
      </w:r>
      <w:r w:rsidR="001C296E" w:rsidRPr="005B1079">
        <w:rPr>
          <w:rStyle w:val="SubtleEmphasis"/>
          <w:rFonts w:ascii="Times New Roman" w:hAnsi="Times New Roman" w:cs="Times New Roman"/>
          <w:i w:val="0"/>
          <w:color w:val="auto"/>
          <w:sz w:val="24"/>
          <w:szCs w:val="24"/>
          <w:lang w:val="en-GB"/>
        </w:rPr>
        <w:t xml:space="preserve">undertaken and required </w:t>
      </w:r>
      <w:r w:rsidR="005B1079" w:rsidRPr="005B1079">
        <w:rPr>
          <w:rStyle w:val="SubtleEmphasis"/>
          <w:rFonts w:ascii="Times New Roman" w:hAnsi="Times New Roman" w:cs="Times New Roman"/>
          <w:i w:val="0"/>
          <w:color w:val="auto"/>
          <w:sz w:val="24"/>
          <w:szCs w:val="24"/>
          <w:lang w:val="en-GB"/>
        </w:rPr>
        <w:t>since</w:t>
      </w:r>
      <w:r w:rsidR="005B1079" w:rsidRPr="005B1079">
        <w:rPr>
          <w:rStyle w:val="SubtleEmphasis"/>
          <w:rFonts w:ascii="Times New Roman" w:hAnsi="Times New Roman" w:cs="Times New Roman"/>
          <w:color w:val="auto"/>
          <w:sz w:val="24"/>
          <w:szCs w:val="24"/>
          <w:lang w:val="en-GB"/>
        </w:rPr>
        <w:t xml:space="preserve"> </w:t>
      </w:r>
      <w:r w:rsidR="005B1079" w:rsidRPr="005B1079">
        <w:rPr>
          <w:rFonts w:ascii="Times New Roman" w:hAnsi="Times New Roman" w:cs="Times New Roman"/>
          <w:sz w:val="24"/>
          <w:szCs w:val="24"/>
          <w:lang w:val="en-GB"/>
        </w:rPr>
        <w:t>CEFTA</w:t>
      </w:r>
      <w:r w:rsidR="001C296E" w:rsidRPr="005B1079">
        <w:rPr>
          <w:rFonts w:ascii="Times New Roman" w:hAnsi="Times New Roman" w:cs="Times New Roman"/>
          <w:sz w:val="24"/>
          <w:szCs w:val="24"/>
          <w:lang w:val="en-GB"/>
        </w:rPr>
        <w:t xml:space="preserve"> MABD was seen as</w:t>
      </w:r>
      <w:r w:rsidR="00AE69CE" w:rsidRPr="005B1079">
        <w:rPr>
          <w:rFonts w:ascii="Times New Roman" w:hAnsi="Times New Roman" w:cs="Times New Roman"/>
          <w:sz w:val="24"/>
          <w:szCs w:val="24"/>
          <w:lang w:val="en-GB"/>
        </w:rPr>
        <w:t xml:space="preserve"> partially updated, despite the re</w:t>
      </w:r>
      <w:r w:rsidR="001C296E" w:rsidRPr="005B1079">
        <w:rPr>
          <w:rFonts w:ascii="Times New Roman" w:hAnsi="Times New Roman" w:cs="Times New Roman"/>
          <w:sz w:val="24"/>
          <w:szCs w:val="24"/>
          <w:lang w:val="en-GB"/>
        </w:rPr>
        <w:t>minder of the Chair in Office</w:t>
      </w:r>
      <w:r w:rsidR="00AE69CE" w:rsidRPr="005B1079">
        <w:rPr>
          <w:rFonts w:ascii="Times New Roman" w:hAnsi="Times New Roman" w:cs="Times New Roman"/>
          <w:sz w:val="24"/>
          <w:szCs w:val="24"/>
          <w:lang w:val="en-GB"/>
        </w:rPr>
        <w:t>. Besides, the Chair</w:t>
      </w:r>
      <w:r w:rsidR="00605E2B" w:rsidRPr="005B1079">
        <w:rPr>
          <w:rFonts w:ascii="Times New Roman" w:hAnsi="Times New Roman" w:cs="Times New Roman"/>
          <w:sz w:val="24"/>
          <w:szCs w:val="24"/>
          <w:lang w:val="en-GB"/>
        </w:rPr>
        <w:t xml:space="preserve"> in Office has</w:t>
      </w:r>
      <w:r w:rsidR="00AE69CE" w:rsidRPr="005B1079">
        <w:rPr>
          <w:rFonts w:ascii="Times New Roman" w:hAnsi="Times New Roman" w:cs="Times New Roman"/>
          <w:sz w:val="24"/>
          <w:szCs w:val="24"/>
          <w:lang w:val="en-GB"/>
        </w:rPr>
        <w:t xml:space="preserve"> </w:t>
      </w:r>
      <w:r w:rsidR="00AE69CE" w:rsidRPr="005B1079">
        <w:rPr>
          <w:rFonts w:ascii="Times New Roman" w:hAnsi="Times New Roman" w:cs="Times New Roman"/>
          <w:sz w:val="24"/>
          <w:szCs w:val="24"/>
          <w:shd w:val="clear" w:color="auto" w:fill="FFFFFF"/>
          <w:lang w:val="en-GB"/>
        </w:rPr>
        <w:t>sent a written instruction to the Secretariat to send a regular reminder to all CEFTA Parties to keep the CEFTA MABD regularly updated.</w:t>
      </w:r>
      <w:r w:rsidR="00605E2B" w:rsidRPr="005B1079">
        <w:rPr>
          <w:rFonts w:ascii="Times New Roman" w:hAnsi="Times New Roman" w:cs="Times New Roman"/>
          <w:sz w:val="24"/>
          <w:szCs w:val="24"/>
          <w:shd w:val="clear" w:color="auto" w:fill="FFFFFF"/>
          <w:lang w:val="en-GB"/>
        </w:rPr>
        <w:t xml:space="preserve"> Unfortunately, this has not regularly happened; therefore, the MABD seems not to be appropriately updated since 2016. </w:t>
      </w:r>
      <w:r w:rsidR="00605E2B" w:rsidRPr="005B1079">
        <w:rPr>
          <w:rFonts w:ascii="Times New Roman" w:hAnsi="Times New Roman" w:cs="Times New Roman"/>
          <w:sz w:val="24"/>
          <w:szCs w:val="24"/>
          <w:lang w:val="en-GB"/>
        </w:rPr>
        <w:t xml:space="preserve">Regular updating is necessary; hence, </w:t>
      </w:r>
      <w:r w:rsidR="00BF14F5" w:rsidRPr="005B1079">
        <w:rPr>
          <w:rFonts w:ascii="Times New Roman" w:hAnsi="Times New Roman" w:cs="Times New Roman"/>
          <w:sz w:val="24"/>
          <w:szCs w:val="24"/>
          <w:lang w:val="en-GB"/>
        </w:rPr>
        <w:t xml:space="preserve">as highlighted above </w:t>
      </w:r>
      <w:r w:rsidR="00AE69CE" w:rsidRPr="005B1079">
        <w:rPr>
          <w:rFonts w:ascii="Times New Roman" w:hAnsi="Times New Roman" w:cs="Times New Roman"/>
          <w:sz w:val="24"/>
          <w:szCs w:val="24"/>
          <w:lang w:val="en-GB"/>
        </w:rPr>
        <w:t xml:space="preserve">CEFTA Secretariat </w:t>
      </w:r>
      <w:r w:rsidR="00605E2B" w:rsidRPr="005B1079">
        <w:rPr>
          <w:rFonts w:ascii="Times New Roman" w:hAnsi="Times New Roman" w:cs="Times New Roman"/>
          <w:sz w:val="24"/>
          <w:szCs w:val="24"/>
          <w:lang w:val="en-GB"/>
        </w:rPr>
        <w:t>was</w:t>
      </w:r>
      <w:r w:rsidR="00AE69CE" w:rsidRPr="00491B58">
        <w:rPr>
          <w:rFonts w:ascii="Times New Roman" w:hAnsi="Times New Roman" w:cs="Times New Roman"/>
          <w:sz w:val="24"/>
          <w:szCs w:val="24"/>
          <w:lang w:val="en-GB"/>
        </w:rPr>
        <w:t xml:space="preserve"> instructed by the Chair to send a regular reminder to all CEFTA Parties.</w:t>
      </w:r>
    </w:p>
    <w:p w:rsidR="005B1079" w:rsidRPr="00491B58" w:rsidRDefault="005B1079" w:rsidP="005B1079">
      <w:pPr>
        <w:spacing w:after="0" w:line="240" w:lineRule="auto"/>
        <w:jc w:val="both"/>
        <w:rPr>
          <w:rFonts w:ascii="Times New Roman" w:hAnsi="Times New Roman" w:cs="Times New Roman"/>
          <w:sz w:val="24"/>
          <w:szCs w:val="24"/>
          <w:lang w:val="en-GB"/>
        </w:rPr>
      </w:pPr>
    </w:p>
    <w:p w:rsidR="009D5A70" w:rsidRPr="00035A78" w:rsidRDefault="00035A78" w:rsidP="00035A78">
      <w:pPr>
        <w:pStyle w:val="ListParagraph"/>
        <w:numPr>
          <w:ilvl w:val="1"/>
          <w:numId w:val="12"/>
        </w:numPr>
        <w:spacing w:after="0" w:line="240" w:lineRule="auto"/>
        <w:jc w:val="both"/>
        <w:rPr>
          <w:rFonts w:ascii="Times New Roman" w:hAnsi="Times New Roman" w:cs="Times New Roman"/>
          <w:b/>
          <w:bCs/>
          <w:sz w:val="24"/>
          <w:szCs w:val="24"/>
          <w:lang w:val="en-GB"/>
        </w:rPr>
      </w:pPr>
      <w:r w:rsidRPr="00035A78">
        <w:rPr>
          <w:rFonts w:ascii="Times New Roman" w:hAnsi="Times New Roman" w:cs="Times New Roman"/>
          <w:b/>
          <w:bCs/>
          <w:sz w:val="24"/>
          <w:szCs w:val="24"/>
          <w:lang w:val="en-GB"/>
        </w:rPr>
        <w:t>The overall distribution of cases recorded in CEFTA MABD and by other sources</w:t>
      </w:r>
    </w:p>
    <w:p w:rsidR="009D5A70" w:rsidRPr="009D5A70" w:rsidRDefault="009D5A70" w:rsidP="009D5A70">
      <w:pPr>
        <w:pStyle w:val="ListParagraph"/>
        <w:spacing w:after="0" w:line="240" w:lineRule="auto"/>
        <w:ind w:left="1080"/>
        <w:jc w:val="both"/>
        <w:rPr>
          <w:rFonts w:ascii="Times New Roman" w:hAnsi="Times New Roman" w:cs="Times New Roman"/>
          <w:b/>
          <w:bCs/>
          <w:sz w:val="24"/>
          <w:szCs w:val="24"/>
          <w:lang w:val="en-GB"/>
        </w:rPr>
      </w:pPr>
    </w:p>
    <w:p w:rsidR="007C5F60" w:rsidRPr="007C5F60" w:rsidRDefault="00035A78" w:rsidP="007C5F60">
      <w:pPr>
        <w:spacing w:after="0" w:line="360" w:lineRule="auto"/>
        <w:jc w:val="both"/>
        <w:rPr>
          <w:rFonts w:ascii="Times New Roman" w:hAnsi="Times New Roman" w:cs="Times New Roman"/>
          <w:sz w:val="24"/>
          <w:szCs w:val="24"/>
          <w:lang w:val="en-GB"/>
        </w:rPr>
      </w:pPr>
      <w:r w:rsidRPr="009D5A70">
        <w:rPr>
          <w:rFonts w:ascii="Times New Roman" w:hAnsi="Times New Roman" w:cs="Times New Roman"/>
          <w:sz w:val="24"/>
          <w:szCs w:val="24"/>
          <w:lang w:val="en-GB"/>
        </w:rPr>
        <w:t>Despite such approximation, NTBs in the CEFTA Region still exist due to the following reasons:</w:t>
      </w:r>
      <w:r w:rsidR="00721014" w:rsidRPr="009D5A70">
        <w:rPr>
          <w:rFonts w:ascii="Times New Roman" w:hAnsi="Times New Roman" w:cs="Times New Roman"/>
          <w:sz w:val="24"/>
          <w:szCs w:val="24"/>
          <w:lang w:val="en-GB"/>
        </w:rPr>
        <w:t xml:space="preserve"> </w:t>
      </w:r>
      <w:r w:rsidR="00087902" w:rsidRPr="009D5A70">
        <w:rPr>
          <w:rFonts w:ascii="Times New Roman" w:hAnsi="Times New Roman" w:cs="Times New Roman"/>
          <w:sz w:val="24"/>
          <w:szCs w:val="24"/>
          <w:lang w:val="en-GB"/>
        </w:rPr>
        <w:t>First, n</w:t>
      </w:r>
      <w:r w:rsidRPr="009D5A70">
        <w:rPr>
          <w:rFonts w:ascii="Times New Roman" w:hAnsi="Times New Roman" w:cs="Times New Roman"/>
          <w:sz w:val="24"/>
          <w:szCs w:val="24"/>
          <w:lang w:val="en-GB"/>
        </w:rPr>
        <w:t>on-recognition of certification at 1st or 2nd Party levels;</w:t>
      </w:r>
      <w:r w:rsidR="00087902" w:rsidRPr="009D5A70">
        <w:rPr>
          <w:rFonts w:ascii="Times New Roman" w:hAnsi="Times New Roman" w:cs="Times New Roman"/>
          <w:sz w:val="24"/>
          <w:szCs w:val="24"/>
          <w:lang w:val="en-GB"/>
        </w:rPr>
        <w:t xml:space="preserve"> second, the a</w:t>
      </w:r>
      <w:r w:rsidRPr="009D5A70">
        <w:rPr>
          <w:rFonts w:ascii="Times New Roman" w:hAnsi="Times New Roman" w:cs="Times New Roman"/>
          <w:sz w:val="24"/>
          <w:szCs w:val="24"/>
          <w:lang w:val="en-GB"/>
        </w:rPr>
        <w:t xml:space="preserve">bsence of mutual recognition </w:t>
      </w:r>
      <w:r w:rsidR="00087902" w:rsidRPr="009D5A70">
        <w:rPr>
          <w:rFonts w:ascii="Times New Roman" w:hAnsi="Times New Roman" w:cs="Times New Roman"/>
          <w:sz w:val="24"/>
          <w:szCs w:val="24"/>
          <w:lang w:val="en-GB"/>
        </w:rPr>
        <w:t>at regional or bilateral levels, third, the e</w:t>
      </w:r>
      <w:r w:rsidRPr="009D5A70">
        <w:rPr>
          <w:rFonts w:ascii="Times New Roman" w:hAnsi="Times New Roman" w:cs="Times New Roman"/>
          <w:sz w:val="24"/>
          <w:szCs w:val="24"/>
          <w:lang w:val="en-GB"/>
        </w:rPr>
        <w:t>xcessive documentary requirements burden certification stage;</w:t>
      </w:r>
      <w:r w:rsidR="00087902" w:rsidRPr="009D5A70">
        <w:rPr>
          <w:rFonts w:ascii="Times New Roman" w:hAnsi="Times New Roman" w:cs="Times New Roman"/>
          <w:sz w:val="24"/>
          <w:szCs w:val="24"/>
          <w:lang w:val="en-GB"/>
        </w:rPr>
        <w:t xml:space="preserve"> fourth, the c</w:t>
      </w:r>
      <w:r w:rsidRPr="009D5A70">
        <w:rPr>
          <w:rFonts w:ascii="Times New Roman" w:hAnsi="Times New Roman" w:cs="Times New Roman"/>
          <w:sz w:val="24"/>
          <w:szCs w:val="24"/>
          <w:lang w:val="en-GB"/>
        </w:rPr>
        <w:t>umbersome compliance procedures due to low-risk management, excessive sampling, double testing, requirin</w:t>
      </w:r>
      <w:r w:rsidR="00087902" w:rsidRPr="009D5A70">
        <w:rPr>
          <w:rFonts w:ascii="Times New Roman" w:hAnsi="Times New Roman" w:cs="Times New Roman"/>
          <w:sz w:val="24"/>
          <w:szCs w:val="24"/>
          <w:lang w:val="en-GB"/>
        </w:rPr>
        <w:t>g testing in third parties etc. and last but not least, the r</w:t>
      </w:r>
      <w:r w:rsidRPr="009D5A70">
        <w:rPr>
          <w:rFonts w:ascii="Times New Roman" w:hAnsi="Times New Roman" w:cs="Times New Roman"/>
          <w:sz w:val="24"/>
          <w:szCs w:val="24"/>
          <w:lang w:val="en-GB"/>
        </w:rPr>
        <w:t>evenue collection remains a high strategic priority to ease national budgetary issues – Offsetting facilitated preferential trade with FTA partners with revenue collection motivated certification and compliance in the regional trade.</w:t>
      </w:r>
      <w:r w:rsidR="00721014" w:rsidRPr="009D5A70">
        <w:rPr>
          <w:rFonts w:ascii="Times New Roman" w:hAnsi="Times New Roman" w:cs="Times New Roman"/>
          <w:sz w:val="24"/>
          <w:szCs w:val="24"/>
          <w:lang w:val="en-GB"/>
        </w:rPr>
        <w:t xml:space="preserve"> </w:t>
      </w:r>
      <w:r w:rsidR="00087902" w:rsidRPr="009D5A70">
        <w:rPr>
          <w:rFonts w:ascii="Times New Roman" w:hAnsi="Times New Roman" w:cs="Times New Roman"/>
          <w:bCs/>
          <w:sz w:val="24"/>
          <w:szCs w:val="24"/>
          <w:lang w:val="en-GB"/>
        </w:rPr>
        <w:t>However, t</w:t>
      </w:r>
      <w:r w:rsidRPr="009D5A70">
        <w:rPr>
          <w:rFonts w:ascii="Times New Roman" w:hAnsi="Times New Roman" w:cs="Times New Roman"/>
          <w:bCs/>
          <w:sz w:val="24"/>
          <w:szCs w:val="24"/>
          <w:lang w:val="en-GB"/>
        </w:rPr>
        <w:t>o better understand the whole nature of the application of NTBs among CEFTA countries several figures regarding the cases by applying measures, reporting cases, barriers by sector, cases by status and ca</w:t>
      </w:r>
      <w:r w:rsidR="0052644F" w:rsidRPr="009D5A70">
        <w:rPr>
          <w:rFonts w:ascii="Times New Roman" w:hAnsi="Times New Roman" w:cs="Times New Roman"/>
          <w:bCs/>
          <w:sz w:val="24"/>
          <w:szCs w:val="24"/>
          <w:lang w:val="en-GB"/>
        </w:rPr>
        <w:t>ses by category are shown below.</w:t>
      </w:r>
      <w:r w:rsidR="009D5A70">
        <w:rPr>
          <w:rFonts w:ascii="Times New Roman" w:hAnsi="Times New Roman" w:cs="Times New Roman"/>
          <w:sz w:val="24"/>
          <w:szCs w:val="24"/>
          <w:lang w:val="en-GB"/>
        </w:rPr>
        <w:t xml:space="preserve"> </w:t>
      </w:r>
      <w:r w:rsidRPr="009D5A70">
        <w:rPr>
          <w:rFonts w:ascii="Times New Roman" w:hAnsi="Times New Roman" w:cs="Times New Roman"/>
          <w:bCs/>
          <w:sz w:val="24"/>
          <w:szCs w:val="24"/>
          <w:lang w:val="en-GB"/>
        </w:rPr>
        <w:t xml:space="preserve">As figure 1 shows, from 2013 to 2016, in total 102 non-tariff </w:t>
      </w:r>
      <w:r w:rsidR="00C65092" w:rsidRPr="009D5A70">
        <w:rPr>
          <w:rFonts w:ascii="Times New Roman" w:hAnsi="Times New Roman" w:cs="Times New Roman"/>
          <w:bCs/>
          <w:sz w:val="24"/>
          <w:szCs w:val="24"/>
          <w:lang w:val="en-GB"/>
        </w:rPr>
        <w:t>barriers</w:t>
      </w:r>
      <w:r w:rsidR="00DE483F">
        <w:rPr>
          <w:rFonts w:ascii="Times New Roman" w:hAnsi="Times New Roman" w:cs="Times New Roman"/>
          <w:bCs/>
          <w:sz w:val="24"/>
          <w:szCs w:val="24"/>
          <w:lang w:val="en-GB"/>
        </w:rPr>
        <w:t xml:space="preserve"> were applied</w:t>
      </w:r>
      <w:r w:rsidRPr="009D5A70">
        <w:rPr>
          <w:rFonts w:ascii="Times New Roman" w:hAnsi="Times New Roman" w:cs="Times New Roman"/>
          <w:bCs/>
          <w:sz w:val="24"/>
          <w:szCs w:val="24"/>
          <w:lang w:val="en-GB"/>
        </w:rPr>
        <w:t xml:space="preserve"> among CEFTA member states, out of </w:t>
      </w:r>
      <w:r w:rsidR="00EE496F" w:rsidRPr="009D5A70">
        <w:rPr>
          <w:rFonts w:ascii="Times New Roman" w:hAnsi="Times New Roman" w:cs="Times New Roman"/>
          <w:bCs/>
          <w:sz w:val="24"/>
          <w:szCs w:val="24"/>
          <w:lang w:val="en-GB"/>
        </w:rPr>
        <w:t>them,</w:t>
      </w:r>
      <w:r w:rsidRPr="009D5A70">
        <w:rPr>
          <w:rFonts w:ascii="Times New Roman" w:hAnsi="Times New Roman" w:cs="Times New Roman"/>
          <w:bCs/>
          <w:sz w:val="24"/>
          <w:szCs w:val="24"/>
          <w:lang w:val="en-GB"/>
        </w:rPr>
        <w:t xml:space="preserve"> 78 cases or 76.5% of total cases were </w:t>
      </w:r>
      <w:r w:rsidR="00C65092" w:rsidRPr="009D5A70">
        <w:rPr>
          <w:rFonts w:ascii="Times New Roman" w:hAnsi="Times New Roman" w:cs="Times New Roman"/>
          <w:bCs/>
          <w:sz w:val="24"/>
          <w:szCs w:val="24"/>
          <w:lang w:val="en-GB"/>
        </w:rPr>
        <w:t>solved.</w:t>
      </w:r>
      <w:r w:rsidR="00F53ECC" w:rsidRPr="009D5A70">
        <w:rPr>
          <w:rFonts w:ascii="Times New Roman" w:hAnsi="Times New Roman" w:cs="Times New Roman"/>
          <w:bCs/>
          <w:sz w:val="24"/>
          <w:szCs w:val="24"/>
          <w:lang w:val="en-GB"/>
        </w:rPr>
        <w:t xml:space="preserve"> </w:t>
      </w:r>
      <w:r w:rsidR="00EE496F" w:rsidRPr="009D5A70">
        <w:rPr>
          <w:rFonts w:ascii="Times New Roman" w:hAnsi="Times New Roman" w:cs="Times New Roman"/>
          <w:bCs/>
          <w:sz w:val="24"/>
          <w:szCs w:val="24"/>
          <w:lang w:val="en-GB"/>
        </w:rPr>
        <w:t xml:space="preserve">While </w:t>
      </w:r>
      <w:r w:rsidRPr="009D5A70">
        <w:rPr>
          <w:rFonts w:ascii="Times New Roman" w:hAnsi="Times New Roman" w:cs="Times New Roman"/>
          <w:bCs/>
          <w:sz w:val="24"/>
          <w:szCs w:val="24"/>
          <w:lang w:val="en-GB"/>
        </w:rPr>
        <w:t xml:space="preserve">24 or 23.5% of cases of non-tariff barriers imposed by CEFTA member </w:t>
      </w:r>
      <w:r w:rsidR="00EE496F" w:rsidRPr="009D5A70">
        <w:rPr>
          <w:rFonts w:ascii="Times New Roman" w:hAnsi="Times New Roman" w:cs="Times New Roman"/>
          <w:bCs/>
          <w:sz w:val="24"/>
          <w:szCs w:val="24"/>
          <w:lang w:val="en-GB"/>
        </w:rPr>
        <w:t>states</w:t>
      </w:r>
      <w:r w:rsidR="00BC3C24" w:rsidRPr="009D5A70">
        <w:rPr>
          <w:rFonts w:ascii="Times New Roman" w:hAnsi="Times New Roman" w:cs="Times New Roman"/>
          <w:bCs/>
          <w:sz w:val="24"/>
          <w:szCs w:val="24"/>
          <w:lang w:val="en-GB"/>
        </w:rPr>
        <w:t xml:space="preserve"> remain as unsolved cases</w:t>
      </w:r>
      <w:r w:rsidR="00AB3D67" w:rsidRPr="009D5A70">
        <w:rPr>
          <w:rFonts w:ascii="Times New Roman" w:hAnsi="Times New Roman" w:cs="Times New Roman"/>
          <w:bCs/>
          <w:sz w:val="24"/>
          <w:szCs w:val="24"/>
          <w:lang w:val="en-GB"/>
        </w:rPr>
        <w:t xml:space="preserve">, in terms of countries, as it can be seen Serbia has applied the most significant </w:t>
      </w:r>
      <w:r w:rsidR="00DE1E35" w:rsidRPr="009D5A70">
        <w:rPr>
          <w:rFonts w:ascii="Times New Roman" w:hAnsi="Times New Roman" w:cs="Times New Roman"/>
          <w:bCs/>
          <w:sz w:val="24"/>
          <w:szCs w:val="24"/>
          <w:lang w:val="en-GB"/>
        </w:rPr>
        <w:t>number</w:t>
      </w:r>
      <w:r w:rsidR="00AB3D67" w:rsidRPr="009D5A70">
        <w:rPr>
          <w:rFonts w:ascii="Times New Roman" w:hAnsi="Times New Roman" w:cs="Times New Roman"/>
          <w:bCs/>
          <w:sz w:val="24"/>
          <w:szCs w:val="24"/>
          <w:lang w:val="en-GB"/>
        </w:rPr>
        <w:t xml:space="preserve"> of NTBs cases</w:t>
      </w:r>
      <w:r w:rsidRPr="009D5A70">
        <w:rPr>
          <w:rFonts w:ascii="Times New Roman" w:hAnsi="Times New Roman" w:cs="Times New Roman"/>
          <w:bCs/>
          <w:sz w:val="24"/>
          <w:szCs w:val="24"/>
          <w:lang w:val="en-GB"/>
        </w:rPr>
        <w:t xml:space="preserve"> with a total of 37 applied measures, followed by Bosnia and Herzegovina. Regarding Kosovo, there are 14 </w:t>
      </w:r>
      <w:r w:rsidR="00221D2A" w:rsidRPr="009D5A70">
        <w:rPr>
          <w:rFonts w:ascii="Times New Roman" w:hAnsi="Times New Roman" w:cs="Times New Roman"/>
          <w:bCs/>
          <w:sz w:val="24"/>
          <w:szCs w:val="24"/>
          <w:lang w:val="en-GB"/>
        </w:rPr>
        <w:t>cases of NTBs</w:t>
      </w:r>
      <w:r w:rsidRPr="009D5A70">
        <w:rPr>
          <w:rFonts w:ascii="Times New Roman" w:hAnsi="Times New Roman" w:cs="Times New Roman"/>
          <w:bCs/>
          <w:sz w:val="24"/>
          <w:szCs w:val="24"/>
          <w:lang w:val="en-GB"/>
        </w:rPr>
        <w:t xml:space="preserve">, which only 7 or 50% of the selected general cases are </w:t>
      </w:r>
      <w:r w:rsidR="000709C0" w:rsidRPr="009D5A70">
        <w:rPr>
          <w:rFonts w:ascii="Times New Roman" w:hAnsi="Times New Roman" w:cs="Times New Roman"/>
          <w:bCs/>
          <w:sz w:val="24"/>
          <w:szCs w:val="24"/>
          <w:lang w:val="en-GB"/>
        </w:rPr>
        <w:t>solved</w:t>
      </w:r>
      <w:r w:rsidRPr="009D5A70">
        <w:rPr>
          <w:rFonts w:ascii="Times New Roman" w:hAnsi="Times New Roman" w:cs="Times New Roman"/>
          <w:bCs/>
          <w:sz w:val="24"/>
          <w:szCs w:val="24"/>
          <w:lang w:val="en-GB"/>
        </w:rPr>
        <w:t>. For more information see Fig</w:t>
      </w:r>
      <w:r w:rsidR="00DE483F">
        <w:rPr>
          <w:rFonts w:ascii="Times New Roman" w:hAnsi="Times New Roman" w:cs="Times New Roman"/>
          <w:bCs/>
          <w:sz w:val="24"/>
          <w:szCs w:val="24"/>
          <w:lang w:val="en-GB"/>
        </w:rPr>
        <w:t xml:space="preserve"> </w:t>
      </w:r>
      <w:r w:rsidRPr="009D5A70">
        <w:rPr>
          <w:rFonts w:ascii="Times New Roman" w:hAnsi="Times New Roman" w:cs="Times New Roman"/>
          <w:bCs/>
          <w:sz w:val="24"/>
          <w:szCs w:val="24"/>
          <w:lang w:val="en-GB"/>
        </w:rPr>
        <w:t>1.</w:t>
      </w:r>
    </w:p>
    <w:p w:rsidR="00A835E4" w:rsidRPr="00491B58" w:rsidRDefault="00035A78" w:rsidP="00491B58">
      <w:pPr>
        <w:spacing w:after="0" w:line="240" w:lineRule="auto"/>
        <w:jc w:val="both"/>
        <w:rPr>
          <w:rFonts w:ascii="Times New Roman" w:hAnsi="Times New Roman" w:cs="Times New Roman"/>
          <w:b/>
          <w:bCs/>
          <w:sz w:val="24"/>
          <w:szCs w:val="24"/>
          <w:lang w:val="en-GB"/>
        </w:rPr>
      </w:pPr>
      <w:r w:rsidRPr="00491B58">
        <w:rPr>
          <w:rFonts w:ascii="Times New Roman" w:hAnsi="Times New Roman" w:cs="Times New Roman"/>
          <w:b/>
          <w:bCs/>
          <w:sz w:val="24"/>
          <w:szCs w:val="24"/>
          <w:lang w:val="en-GB"/>
        </w:rPr>
        <w:lastRenderedPageBreak/>
        <w:t>Figure 1:</w:t>
      </w:r>
    </w:p>
    <w:p w:rsidR="00B2741C" w:rsidRPr="00491B58" w:rsidRDefault="00035A78" w:rsidP="009D5A70">
      <w:pPr>
        <w:spacing w:after="0" w:line="360" w:lineRule="auto"/>
        <w:jc w:val="both"/>
        <w:rPr>
          <w:rFonts w:ascii="Times New Roman" w:hAnsi="Times New Roman" w:cs="Times New Roman"/>
          <w:b/>
          <w:bCs/>
          <w:sz w:val="24"/>
          <w:szCs w:val="24"/>
          <w:lang w:val="en-GB"/>
        </w:rPr>
      </w:pPr>
      <w:r w:rsidRPr="00491B58">
        <w:rPr>
          <w:rFonts w:ascii="Times New Roman" w:hAnsi="Times New Roman" w:cs="Times New Roman"/>
          <w:b/>
          <w:bCs/>
          <w:noProof/>
          <w:sz w:val="24"/>
          <w:szCs w:val="24"/>
          <w:lang w:val="en-US"/>
        </w:rPr>
        <w:drawing>
          <wp:inline distT="0" distB="0" distL="0" distR="0">
            <wp:extent cx="5715000" cy="3448050"/>
            <wp:effectExtent l="0" t="0" r="0" b="0"/>
            <wp:docPr id="1" name="Picture 1" descr="C:\Users\ZEF~1.DED\AppData\Local\Temp\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860360" name="Picture 1" descr="C:\Users\ZEF~1.DED\AppData\Local\Temp\chart.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719871" cy="3450989"/>
                    </a:xfrm>
                    <a:prstGeom prst="rect">
                      <a:avLst/>
                    </a:prstGeom>
                    <a:noFill/>
                    <a:ln>
                      <a:noFill/>
                    </a:ln>
                  </pic:spPr>
                </pic:pic>
              </a:graphicData>
            </a:graphic>
          </wp:inline>
        </w:drawing>
      </w:r>
    </w:p>
    <w:p w:rsidR="00955E1E" w:rsidRDefault="00035A78" w:rsidP="007C5F60">
      <w:pPr>
        <w:spacing w:after="0" w:line="360" w:lineRule="auto"/>
        <w:jc w:val="both"/>
        <w:rPr>
          <w:rFonts w:ascii="Times New Roman" w:hAnsi="Times New Roman" w:cs="Times New Roman"/>
          <w:bCs/>
          <w:sz w:val="24"/>
          <w:szCs w:val="24"/>
          <w:lang w:val="en-GB"/>
        </w:rPr>
      </w:pPr>
      <w:r w:rsidRPr="00491B58">
        <w:rPr>
          <w:rFonts w:ascii="Times New Roman" w:hAnsi="Times New Roman" w:cs="Times New Roman"/>
          <w:bCs/>
          <w:sz w:val="24"/>
          <w:szCs w:val="24"/>
          <w:lang w:val="en-GB"/>
        </w:rPr>
        <w:t xml:space="preserve">Also, </w:t>
      </w:r>
      <w:r w:rsidR="0065293D" w:rsidRPr="00491B58">
        <w:rPr>
          <w:rFonts w:ascii="Times New Roman" w:hAnsi="Times New Roman" w:cs="Times New Roman"/>
          <w:bCs/>
          <w:sz w:val="24"/>
          <w:szCs w:val="24"/>
          <w:lang w:val="en-GB"/>
        </w:rPr>
        <w:t>throughout 2013</w:t>
      </w:r>
      <w:r w:rsidRPr="00491B58">
        <w:rPr>
          <w:rFonts w:ascii="Times New Roman" w:hAnsi="Times New Roman" w:cs="Times New Roman"/>
          <w:bCs/>
          <w:sz w:val="24"/>
          <w:szCs w:val="24"/>
          <w:lang w:val="en-GB"/>
        </w:rPr>
        <w:t xml:space="preserve"> - 2016,</w:t>
      </w:r>
      <w:r w:rsidR="0065293D" w:rsidRPr="00491B58">
        <w:rPr>
          <w:rFonts w:ascii="Times New Roman" w:hAnsi="Times New Roman" w:cs="Times New Roman"/>
          <w:bCs/>
          <w:sz w:val="24"/>
          <w:szCs w:val="24"/>
          <w:lang w:val="en-GB"/>
        </w:rPr>
        <w:t xml:space="preserve"> the</w:t>
      </w:r>
      <w:r w:rsidRPr="00491B58">
        <w:rPr>
          <w:rFonts w:ascii="Times New Roman" w:hAnsi="Times New Roman" w:cs="Times New Roman"/>
          <w:bCs/>
          <w:sz w:val="24"/>
          <w:szCs w:val="24"/>
          <w:lang w:val="en-GB"/>
        </w:rPr>
        <w:t xml:space="preserve"> reported </w:t>
      </w:r>
      <w:r w:rsidR="009C001A" w:rsidRPr="00491B58">
        <w:rPr>
          <w:rFonts w:ascii="Times New Roman" w:hAnsi="Times New Roman" w:cs="Times New Roman"/>
          <w:bCs/>
          <w:sz w:val="24"/>
          <w:szCs w:val="24"/>
          <w:lang w:val="en-GB"/>
        </w:rPr>
        <w:t xml:space="preserve">NTBs </w:t>
      </w:r>
      <w:r w:rsidR="00DE483F">
        <w:rPr>
          <w:rFonts w:ascii="Times New Roman" w:hAnsi="Times New Roman" w:cs="Times New Roman"/>
          <w:bCs/>
          <w:sz w:val="24"/>
          <w:szCs w:val="24"/>
          <w:lang w:val="en-GB"/>
        </w:rPr>
        <w:t xml:space="preserve">by CEFTA member states </w:t>
      </w:r>
      <w:r w:rsidR="0065293D" w:rsidRPr="00491B58">
        <w:rPr>
          <w:rFonts w:ascii="Times New Roman" w:hAnsi="Times New Roman" w:cs="Times New Roman"/>
          <w:bCs/>
          <w:sz w:val="24"/>
          <w:szCs w:val="24"/>
          <w:lang w:val="en-GB"/>
        </w:rPr>
        <w:t>marked</w:t>
      </w:r>
      <w:r w:rsidR="0049793F" w:rsidRPr="00491B58">
        <w:rPr>
          <w:rFonts w:ascii="Times New Roman" w:hAnsi="Times New Roman" w:cs="Times New Roman"/>
          <w:bCs/>
          <w:sz w:val="24"/>
          <w:szCs w:val="24"/>
          <w:lang w:val="en-GB"/>
        </w:rPr>
        <w:t xml:space="preserve"> 107 cases. Out of</w:t>
      </w:r>
      <w:r w:rsidRPr="00491B58">
        <w:rPr>
          <w:rFonts w:ascii="Times New Roman" w:hAnsi="Times New Roman" w:cs="Times New Roman"/>
          <w:bCs/>
          <w:sz w:val="24"/>
          <w:szCs w:val="24"/>
          <w:lang w:val="en-GB"/>
        </w:rPr>
        <w:t xml:space="preserve"> the reported cases, 84 of them are solved or expressed in percentage, 78.5%</w:t>
      </w:r>
      <w:r w:rsidR="00F51187" w:rsidRPr="00491B58">
        <w:rPr>
          <w:rFonts w:ascii="Times New Roman" w:hAnsi="Times New Roman" w:cs="Times New Roman"/>
          <w:bCs/>
          <w:sz w:val="24"/>
          <w:szCs w:val="24"/>
          <w:lang w:val="en-GB"/>
        </w:rPr>
        <w:t>, w</w:t>
      </w:r>
      <w:r w:rsidRPr="00491B58">
        <w:rPr>
          <w:rFonts w:ascii="Times New Roman" w:hAnsi="Times New Roman" w:cs="Times New Roman"/>
          <w:bCs/>
          <w:sz w:val="24"/>
          <w:szCs w:val="24"/>
          <w:lang w:val="en-GB"/>
        </w:rPr>
        <w:t>hile 23 cases</w:t>
      </w:r>
      <w:r w:rsidR="00F51187" w:rsidRPr="00491B58">
        <w:rPr>
          <w:rFonts w:ascii="Times New Roman" w:hAnsi="Times New Roman" w:cs="Times New Roman"/>
          <w:bCs/>
          <w:sz w:val="24"/>
          <w:szCs w:val="24"/>
          <w:lang w:val="en-GB"/>
        </w:rPr>
        <w:t xml:space="preserve"> remain</w:t>
      </w:r>
      <w:r w:rsidRPr="00491B58">
        <w:rPr>
          <w:rFonts w:ascii="Times New Roman" w:hAnsi="Times New Roman" w:cs="Times New Roman"/>
          <w:bCs/>
          <w:sz w:val="24"/>
          <w:szCs w:val="24"/>
          <w:lang w:val="en-GB"/>
        </w:rPr>
        <w:t xml:space="preserve"> unresolved or 21.5%. The country that most reported </w:t>
      </w:r>
      <w:r w:rsidR="00DE483F">
        <w:rPr>
          <w:rFonts w:ascii="Times New Roman" w:hAnsi="Times New Roman" w:cs="Times New Roman"/>
          <w:bCs/>
          <w:sz w:val="24"/>
          <w:szCs w:val="24"/>
          <w:lang w:val="en-GB"/>
        </w:rPr>
        <w:t xml:space="preserve">identified </w:t>
      </w:r>
      <w:r w:rsidRPr="00491B58">
        <w:rPr>
          <w:rFonts w:ascii="Times New Roman" w:hAnsi="Times New Roman" w:cs="Times New Roman"/>
          <w:bCs/>
          <w:sz w:val="24"/>
          <w:szCs w:val="24"/>
          <w:lang w:val="en-GB"/>
        </w:rPr>
        <w:t xml:space="preserve">NTB cases </w:t>
      </w:r>
      <w:r w:rsidR="009C001A" w:rsidRPr="00491B58">
        <w:rPr>
          <w:rFonts w:ascii="Times New Roman" w:hAnsi="Times New Roman" w:cs="Times New Roman"/>
          <w:bCs/>
          <w:sz w:val="24"/>
          <w:szCs w:val="24"/>
          <w:lang w:val="en-GB"/>
        </w:rPr>
        <w:t>is</w:t>
      </w:r>
      <w:r w:rsidRPr="00491B58">
        <w:rPr>
          <w:rFonts w:ascii="Times New Roman" w:hAnsi="Times New Roman" w:cs="Times New Roman"/>
          <w:bCs/>
          <w:sz w:val="24"/>
          <w:szCs w:val="24"/>
          <w:lang w:val="en-GB"/>
        </w:rPr>
        <w:t xml:space="preserve"> Serbia with 32 reported cases, followed by Bosnia and Herzegovina</w:t>
      </w:r>
      <w:r w:rsidR="00DE483F">
        <w:rPr>
          <w:rFonts w:ascii="Times New Roman" w:hAnsi="Times New Roman" w:cs="Times New Roman"/>
          <w:bCs/>
          <w:sz w:val="24"/>
          <w:szCs w:val="24"/>
          <w:lang w:val="en-GB"/>
        </w:rPr>
        <w:t xml:space="preserve"> 28 cases</w:t>
      </w:r>
      <w:r w:rsidRPr="00491B58">
        <w:rPr>
          <w:rFonts w:ascii="Times New Roman" w:hAnsi="Times New Roman" w:cs="Times New Roman"/>
          <w:bCs/>
          <w:sz w:val="24"/>
          <w:szCs w:val="24"/>
          <w:lang w:val="en-GB"/>
        </w:rPr>
        <w:t>. Whereas, Kosovo reported 20 c</w:t>
      </w:r>
      <w:r w:rsidR="00DE483F">
        <w:rPr>
          <w:rFonts w:ascii="Times New Roman" w:hAnsi="Times New Roman" w:cs="Times New Roman"/>
          <w:bCs/>
          <w:sz w:val="24"/>
          <w:szCs w:val="24"/>
          <w:lang w:val="en-GB"/>
        </w:rPr>
        <w:t xml:space="preserve">ases of non-tariff barriers and </w:t>
      </w:r>
      <w:r w:rsidRPr="00491B58">
        <w:rPr>
          <w:rFonts w:ascii="Times New Roman" w:hAnsi="Times New Roman" w:cs="Times New Roman"/>
          <w:bCs/>
          <w:sz w:val="24"/>
          <w:szCs w:val="24"/>
          <w:lang w:val="en-GB"/>
        </w:rPr>
        <w:t>18</w:t>
      </w:r>
      <w:r w:rsidR="00DE483F">
        <w:rPr>
          <w:rFonts w:ascii="Times New Roman" w:hAnsi="Times New Roman" w:cs="Times New Roman"/>
          <w:bCs/>
          <w:sz w:val="24"/>
          <w:szCs w:val="24"/>
          <w:lang w:val="en-GB"/>
        </w:rPr>
        <w:t xml:space="preserve"> cases</w:t>
      </w:r>
      <w:r w:rsidRPr="00491B58">
        <w:rPr>
          <w:rFonts w:ascii="Times New Roman" w:hAnsi="Times New Roman" w:cs="Times New Roman"/>
          <w:bCs/>
          <w:sz w:val="24"/>
          <w:szCs w:val="24"/>
          <w:lang w:val="en-GB"/>
        </w:rPr>
        <w:t xml:space="preserve"> or 90% of the reported cases were solved.</w:t>
      </w:r>
    </w:p>
    <w:p w:rsidR="0023357A" w:rsidRPr="007C5F60" w:rsidRDefault="0023357A" w:rsidP="007C5F60">
      <w:pPr>
        <w:spacing w:after="0" w:line="360" w:lineRule="auto"/>
        <w:jc w:val="both"/>
        <w:rPr>
          <w:rFonts w:ascii="Times New Roman" w:hAnsi="Times New Roman" w:cs="Times New Roman"/>
          <w:bCs/>
          <w:sz w:val="24"/>
          <w:szCs w:val="24"/>
          <w:lang w:val="en-GB"/>
        </w:rPr>
      </w:pPr>
    </w:p>
    <w:p w:rsidR="00B2741C" w:rsidRPr="00491B58" w:rsidRDefault="00035A78" w:rsidP="00491B58">
      <w:pPr>
        <w:spacing w:after="0" w:line="240" w:lineRule="auto"/>
        <w:jc w:val="both"/>
        <w:rPr>
          <w:rFonts w:ascii="Times New Roman" w:hAnsi="Times New Roman" w:cs="Times New Roman"/>
          <w:b/>
          <w:bCs/>
          <w:sz w:val="24"/>
          <w:szCs w:val="24"/>
          <w:lang w:val="en-GB"/>
        </w:rPr>
      </w:pPr>
      <w:r w:rsidRPr="00491B58">
        <w:rPr>
          <w:rFonts w:ascii="Times New Roman" w:hAnsi="Times New Roman" w:cs="Times New Roman"/>
          <w:b/>
          <w:bCs/>
          <w:sz w:val="24"/>
          <w:szCs w:val="24"/>
          <w:lang w:val="en-GB"/>
        </w:rPr>
        <w:t>Figure 2:</w:t>
      </w:r>
    </w:p>
    <w:p w:rsidR="00B2741C" w:rsidRPr="00491B58" w:rsidRDefault="00035A78" w:rsidP="00491B58">
      <w:pPr>
        <w:jc w:val="both"/>
        <w:rPr>
          <w:rFonts w:ascii="Times New Roman" w:hAnsi="Times New Roman" w:cs="Times New Roman"/>
          <w:b/>
          <w:bCs/>
          <w:sz w:val="24"/>
          <w:szCs w:val="24"/>
          <w:lang w:val="en-GB"/>
        </w:rPr>
      </w:pPr>
      <w:r w:rsidRPr="00491B58">
        <w:rPr>
          <w:rFonts w:ascii="Times New Roman" w:hAnsi="Times New Roman" w:cs="Times New Roman"/>
          <w:b/>
          <w:bCs/>
          <w:noProof/>
          <w:sz w:val="24"/>
          <w:szCs w:val="24"/>
          <w:lang w:val="en-US"/>
        </w:rPr>
        <w:drawing>
          <wp:inline distT="0" distB="0" distL="0" distR="0">
            <wp:extent cx="5600700" cy="2286000"/>
            <wp:effectExtent l="0" t="0" r="0" b="0"/>
            <wp:docPr id="2" name="Picture 2" descr="C:\Users\ZEF~1.DED\AppData\Local\Temp\char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224583" name="Picture 2" descr="C:\Users\ZEF~1.DED\AppData\Local\Temp\chart.jpe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600700" cy="2286000"/>
                    </a:xfrm>
                    <a:prstGeom prst="rect">
                      <a:avLst/>
                    </a:prstGeom>
                    <a:noFill/>
                    <a:ln>
                      <a:noFill/>
                    </a:ln>
                  </pic:spPr>
                </pic:pic>
              </a:graphicData>
            </a:graphic>
          </wp:inline>
        </w:drawing>
      </w:r>
    </w:p>
    <w:p w:rsidR="00A97038" w:rsidRPr="00491B58" w:rsidRDefault="00035A78" w:rsidP="00B459D2">
      <w:pPr>
        <w:spacing w:after="0" w:line="360" w:lineRule="auto"/>
        <w:jc w:val="both"/>
        <w:rPr>
          <w:rFonts w:ascii="Times New Roman" w:hAnsi="Times New Roman" w:cs="Times New Roman"/>
          <w:bCs/>
          <w:sz w:val="24"/>
          <w:szCs w:val="24"/>
          <w:lang w:val="en-GB"/>
        </w:rPr>
      </w:pPr>
      <w:r w:rsidRPr="00B459D2">
        <w:rPr>
          <w:rFonts w:ascii="Times New Roman" w:hAnsi="Times New Roman" w:cs="Times New Roman"/>
          <w:bCs/>
          <w:sz w:val="24"/>
          <w:szCs w:val="24"/>
          <w:lang w:val="en-GB"/>
        </w:rPr>
        <w:t>Figure 2</w:t>
      </w:r>
      <w:r w:rsidRPr="00491B58">
        <w:rPr>
          <w:rFonts w:ascii="Times New Roman" w:hAnsi="Times New Roman" w:cs="Times New Roman"/>
          <w:bCs/>
          <w:sz w:val="24"/>
          <w:szCs w:val="24"/>
          <w:lang w:val="en-GB"/>
        </w:rPr>
        <w:t xml:space="preserve"> </w:t>
      </w:r>
      <w:r w:rsidR="00634FE6" w:rsidRPr="00491B58">
        <w:rPr>
          <w:rFonts w:ascii="Times New Roman" w:hAnsi="Times New Roman" w:cs="Times New Roman"/>
          <w:bCs/>
          <w:sz w:val="24"/>
          <w:szCs w:val="24"/>
          <w:lang w:val="en-GB"/>
        </w:rPr>
        <w:t>explains</w:t>
      </w:r>
      <w:r w:rsidRPr="00491B58">
        <w:rPr>
          <w:rFonts w:ascii="Times New Roman" w:hAnsi="Times New Roman" w:cs="Times New Roman"/>
          <w:bCs/>
          <w:sz w:val="24"/>
          <w:szCs w:val="24"/>
          <w:lang w:val="en-GB"/>
        </w:rPr>
        <w:t xml:space="preserve"> cases by reporting party, the number of cases by each party. </w:t>
      </w:r>
      <w:r w:rsidR="00BE6D16" w:rsidRPr="00491B58">
        <w:rPr>
          <w:rFonts w:ascii="Times New Roman" w:hAnsi="Times New Roman" w:cs="Times New Roman"/>
          <w:bCs/>
          <w:sz w:val="24"/>
          <w:szCs w:val="24"/>
          <w:lang w:val="en-GB"/>
        </w:rPr>
        <w:t xml:space="preserve">As shown in figure 2 </w:t>
      </w:r>
      <w:r w:rsidRPr="00491B58">
        <w:rPr>
          <w:rFonts w:ascii="Times New Roman" w:hAnsi="Times New Roman" w:cs="Times New Roman"/>
          <w:sz w:val="24"/>
          <w:szCs w:val="24"/>
          <w:lang w:val="en-GB"/>
        </w:rPr>
        <w:t xml:space="preserve">Albania has reported </w:t>
      </w:r>
      <w:r w:rsidR="0064481C" w:rsidRPr="00491B58">
        <w:rPr>
          <w:rFonts w:ascii="Times New Roman" w:hAnsi="Times New Roman" w:cs="Times New Roman"/>
          <w:sz w:val="24"/>
          <w:szCs w:val="24"/>
          <w:lang w:val="en-GB"/>
        </w:rPr>
        <w:t xml:space="preserve">only </w:t>
      </w:r>
      <w:r w:rsidRPr="00491B58">
        <w:rPr>
          <w:rFonts w:ascii="Times New Roman" w:hAnsi="Times New Roman" w:cs="Times New Roman"/>
          <w:sz w:val="24"/>
          <w:szCs w:val="24"/>
          <w:lang w:val="en-GB"/>
        </w:rPr>
        <w:t xml:space="preserve">3 cases; </w:t>
      </w:r>
      <w:proofErr w:type="spellStart"/>
      <w:r w:rsidRPr="00491B58">
        <w:rPr>
          <w:rFonts w:ascii="Times New Roman" w:hAnsi="Times New Roman" w:cs="Times New Roman"/>
          <w:sz w:val="24"/>
          <w:szCs w:val="24"/>
          <w:lang w:val="en-GB"/>
        </w:rPr>
        <w:t>BiH</w:t>
      </w:r>
      <w:proofErr w:type="spellEnd"/>
      <w:r w:rsidRPr="00491B58">
        <w:rPr>
          <w:rFonts w:ascii="Times New Roman" w:hAnsi="Times New Roman" w:cs="Times New Roman"/>
          <w:sz w:val="24"/>
          <w:szCs w:val="24"/>
          <w:lang w:val="en-GB"/>
        </w:rPr>
        <w:t xml:space="preserve"> has reported 28 cases; </w:t>
      </w:r>
      <w:r w:rsidR="00DF3743" w:rsidRPr="00491B58">
        <w:rPr>
          <w:rFonts w:ascii="Times New Roman" w:hAnsi="Times New Roman" w:cs="Times New Roman"/>
          <w:sz w:val="24"/>
          <w:szCs w:val="24"/>
          <w:lang w:val="en-GB"/>
        </w:rPr>
        <w:t xml:space="preserve">while </w:t>
      </w:r>
      <w:r w:rsidRPr="00491B58">
        <w:rPr>
          <w:rFonts w:ascii="Times New Roman" w:hAnsi="Times New Roman" w:cs="Times New Roman"/>
          <w:sz w:val="24"/>
          <w:szCs w:val="24"/>
          <w:lang w:val="en-GB"/>
        </w:rPr>
        <w:t>Koso</w:t>
      </w:r>
      <w:r w:rsidR="00A77B9F" w:rsidRPr="00491B58">
        <w:rPr>
          <w:rFonts w:ascii="Times New Roman" w:hAnsi="Times New Roman" w:cs="Times New Roman"/>
          <w:sz w:val="24"/>
          <w:szCs w:val="24"/>
          <w:lang w:val="en-GB"/>
        </w:rPr>
        <w:t xml:space="preserve">vo has reported 20 cases; North </w:t>
      </w:r>
      <w:r w:rsidRPr="00491B58">
        <w:rPr>
          <w:rFonts w:ascii="Times New Roman" w:hAnsi="Times New Roman" w:cs="Times New Roman"/>
          <w:sz w:val="24"/>
          <w:szCs w:val="24"/>
          <w:lang w:val="en-GB"/>
        </w:rPr>
        <w:t xml:space="preserve">Macedonia has reported 12 cases; Montenegro has reported 12 cases; </w:t>
      </w:r>
      <w:r w:rsidRPr="00491B58">
        <w:rPr>
          <w:rFonts w:ascii="Times New Roman" w:hAnsi="Times New Roman" w:cs="Times New Roman"/>
          <w:sz w:val="24"/>
          <w:szCs w:val="24"/>
          <w:lang w:val="en-GB"/>
        </w:rPr>
        <w:lastRenderedPageBreak/>
        <w:t xml:space="preserve">Serbia has reported 32 cases; </w:t>
      </w:r>
      <w:r w:rsidR="00DF3743" w:rsidRPr="00491B58">
        <w:rPr>
          <w:rFonts w:ascii="Times New Roman" w:hAnsi="Times New Roman" w:cs="Times New Roman"/>
          <w:sz w:val="24"/>
          <w:szCs w:val="24"/>
          <w:lang w:val="en-GB"/>
        </w:rPr>
        <w:t xml:space="preserve">and </w:t>
      </w:r>
      <w:r w:rsidRPr="00491B58">
        <w:rPr>
          <w:rFonts w:ascii="Times New Roman" w:hAnsi="Times New Roman" w:cs="Times New Roman"/>
          <w:sz w:val="24"/>
          <w:szCs w:val="24"/>
          <w:lang w:val="en-GB"/>
        </w:rPr>
        <w:t>Moldova 0</w:t>
      </w:r>
      <w:r w:rsidR="007C5F60">
        <w:rPr>
          <w:rFonts w:ascii="Times New Roman" w:hAnsi="Times New Roman" w:cs="Times New Roman"/>
          <w:sz w:val="24"/>
          <w:szCs w:val="24"/>
          <w:lang w:val="en-GB"/>
        </w:rPr>
        <w:t xml:space="preserve"> cases</w:t>
      </w:r>
      <w:r w:rsidRPr="00491B58">
        <w:rPr>
          <w:rFonts w:ascii="Times New Roman" w:hAnsi="Times New Roman" w:cs="Times New Roman"/>
          <w:sz w:val="24"/>
          <w:szCs w:val="24"/>
          <w:lang w:val="en-GB"/>
        </w:rPr>
        <w:t xml:space="preserve">. </w:t>
      </w:r>
      <w:r w:rsidRPr="00491B58">
        <w:rPr>
          <w:rFonts w:ascii="Times New Roman" w:hAnsi="Times New Roman" w:cs="Times New Roman"/>
          <w:bCs/>
          <w:sz w:val="24"/>
          <w:szCs w:val="24"/>
          <w:lang w:val="en-GB"/>
        </w:rPr>
        <w:t>To better understand all the nature of NTB</w:t>
      </w:r>
      <w:r w:rsidR="00AC0E10" w:rsidRPr="00491B58">
        <w:rPr>
          <w:rFonts w:ascii="Times New Roman" w:hAnsi="Times New Roman" w:cs="Times New Roman"/>
          <w:bCs/>
          <w:sz w:val="24"/>
          <w:szCs w:val="24"/>
          <w:lang w:val="en-GB"/>
        </w:rPr>
        <w:t>s</w:t>
      </w:r>
      <w:r w:rsidRPr="00491B58">
        <w:rPr>
          <w:rFonts w:ascii="Times New Roman" w:hAnsi="Times New Roman" w:cs="Times New Roman"/>
          <w:bCs/>
          <w:sz w:val="24"/>
          <w:szCs w:val="24"/>
          <w:lang w:val="en-GB"/>
        </w:rPr>
        <w:t xml:space="preserve"> </w:t>
      </w:r>
      <w:r w:rsidR="00AC0E10" w:rsidRPr="00491B58">
        <w:rPr>
          <w:rFonts w:ascii="Times New Roman" w:hAnsi="Times New Roman" w:cs="Times New Roman"/>
          <w:bCs/>
          <w:sz w:val="24"/>
          <w:szCs w:val="24"/>
          <w:lang w:val="en-GB"/>
        </w:rPr>
        <w:t>application</w:t>
      </w:r>
      <w:r w:rsidR="000E05E7" w:rsidRPr="00491B58">
        <w:rPr>
          <w:rFonts w:ascii="Times New Roman" w:hAnsi="Times New Roman" w:cs="Times New Roman"/>
          <w:bCs/>
          <w:sz w:val="24"/>
          <w:szCs w:val="24"/>
          <w:lang w:val="en-GB"/>
        </w:rPr>
        <w:t xml:space="preserve"> by CEFTA countries, in particular</w:t>
      </w:r>
      <w:r w:rsidRPr="00491B58">
        <w:rPr>
          <w:rFonts w:ascii="Times New Roman" w:hAnsi="Times New Roman" w:cs="Times New Roman"/>
          <w:bCs/>
          <w:sz w:val="24"/>
          <w:szCs w:val="24"/>
          <w:lang w:val="en-GB"/>
        </w:rPr>
        <w:t>, the types of products to which non-tariff barriers have been applied, there are some figures on sectoral cases.</w:t>
      </w:r>
      <w:r w:rsidR="00CC374A" w:rsidRPr="00491B58">
        <w:rPr>
          <w:rFonts w:ascii="Times New Roman" w:hAnsi="Times New Roman" w:cs="Times New Roman"/>
          <w:bCs/>
          <w:sz w:val="24"/>
          <w:szCs w:val="24"/>
          <w:lang w:val="en-GB"/>
        </w:rPr>
        <w:t xml:space="preserve"> </w:t>
      </w:r>
      <w:r w:rsidRPr="00491B58">
        <w:rPr>
          <w:rFonts w:ascii="Times New Roman" w:hAnsi="Times New Roman" w:cs="Times New Roman"/>
          <w:bCs/>
          <w:sz w:val="24"/>
          <w:szCs w:val="24"/>
          <w:lang w:val="en-GB"/>
        </w:rPr>
        <w:t>Therefore, it is worth mentioning that from the data update</w:t>
      </w:r>
      <w:r w:rsidR="000E05E7" w:rsidRPr="00491B58">
        <w:rPr>
          <w:rFonts w:ascii="Times New Roman" w:hAnsi="Times New Roman" w:cs="Times New Roman"/>
          <w:bCs/>
          <w:sz w:val="24"/>
          <w:szCs w:val="24"/>
          <w:lang w:val="en-GB"/>
        </w:rPr>
        <w:t>d</w:t>
      </w:r>
      <w:r w:rsidRPr="00491B58">
        <w:rPr>
          <w:rFonts w:ascii="Times New Roman" w:hAnsi="Times New Roman" w:cs="Times New Roman"/>
          <w:bCs/>
          <w:sz w:val="24"/>
          <w:szCs w:val="24"/>
          <w:lang w:val="en-GB"/>
        </w:rPr>
        <w:t xml:space="preserve"> it is clear that </w:t>
      </w:r>
      <w:r w:rsidR="0086314C">
        <w:rPr>
          <w:rFonts w:ascii="Times New Roman" w:hAnsi="Times New Roman" w:cs="Times New Roman"/>
          <w:bCs/>
          <w:sz w:val="24"/>
          <w:szCs w:val="24"/>
          <w:lang w:val="en-GB"/>
        </w:rPr>
        <w:t xml:space="preserve">most affected </w:t>
      </w:r>
      <w:r w:rsidRPr="00491B58">
        <w:rPr>
          <w:rFonts w:ascii="Times New Roman" w:hAnsi="Times New Roman" w:cs="Times New Roman"/>
          <w:bCs/>
          <w:sz w:val="24"/>
          <w:szCs w:val="24"/>
          <w:lang w:val="en-GB"/>
        </w:rPr>
        <w:t>sectors by NTB are the</w:t>
      </w:r>
      <w:r w:rsidR="000E05E7" w:rsidRPr="00491B58">
        <w:rPr>
          <w:rFonts w:ascii="Times New Roman" w:hAnsi="Times New Roman" w:cs="Times New Roman"/>
          <w:bCs/>
          <w:sz w:val="24"/>
          <w:szCs w:val="24"/>
          <w:lang w:val="en-GB"/>
        </w:rPr>
        <w:t xml:space="preserve"> </w:t>
      </w:r>
      <w:r w:rsidR="00485D28" w:rsidRPr="00491B58">
        <w:rPr>
          <w:rFonts w:ascii="Times New Roman" w:hAnsi="Times New Roman" w:cs="Times New Roman"/>
          <w:bCs/>
          <w:sz w:val="24"/>
          <w:szCs w:val="24"/>
          <w:lang w:val="en-GB"/>
        </w:rPr>
        <w:t>following</w:t>
      </w:r>
      <w:r w:rsidRPr="00491B58">
        <w:rPr>
          <w:rFonts w:ascii="Times New Roman" w:hAnsi="Times New Roman" w:cs="Times New Roman"/>
          <w:bCs/>
          <w:sz w:val="24"/>
          <w:szCs w:val="24"/>
          <w:lang w:val="en-GB"/>
        </w:rPr>
        <w:t xml:space="preserve"> sectors: Prepared Foodstuffs; Beverages, Spirits and Vinegar; Tobacco and Manufactured Tobacco Substitutes with participation in 33.33% of the total number of cases presented</w:t>
      </w:r>
      <w:r w:rsidR="0086314C">
        <w:rPr>
          <w:rFonts w:ascii="Times New Roman" w:hAnsi="Times New Roman" w:cs="Times New Roman"/>
          <w:bCs/>
          <w:sz w:val="24"/>
          <w:szCs w:val="24"/>
          <w:lang w:val="en-GB"/>
        </w:rPr>
        <w:t>,</w:t>
      </w:r>
      <w:r w:rsidR="00870411">
        <w:rPr>
          <w:rFonts w:ascii="Times New Roman" w:hAnsi="Times New Roman" w:cs="Times New Roman"/>
          <w:bCs/>
          <w:sz w:val="24"/>
          <w:szCs w:val="24"/>
          <w:lang w:val="en-GB"/>
        </w:rPr>
        <w:t xml:space="preserve"> </w:t>
      </w:r>
      <w:r w:rsidRPr="00491B58">
        <w:rPr>
          <w:rFonts w:ascii="Times New Roman" w:hAnsi="Times New Roman" w:cs="Times New Roman"/>
          <w:bCs/>
          <w:sz w:val="24"/>
          <w:szCs w:val="24"/>
          <w:lang w:val="en-GB"/>
        </w:rPr>
        <w:t>Vegetable Products sector</w:t>
      </w:r>
      <w:r w:rsidR="0086314C">
        <w:rPr>
          <w:rFonts w:ascii="Times New Roman" w:hAnsi="Times New Roman" w:cs="Times New Roman"/>
          <w:bCs/>
          <w:sz w:val="24"/>
          <w:szCs w:val="24"/>
          <w:lang w:val="en-GB"/>
        </w:rPr>
        <w:t xml:space="preserve"> with 32.05%</w:t>
      </w:r>
      <w:r w:rsidR="007D2D89">
        <w:rPr>
          <w:rFonts w:ascii="Times New Roman" w:hAnsi="Times New Roman" w:cs="Times New Roman"/>
          <w:bCs/>
          <w:sz w:val="24"/>
          <w:szCs w:val="24"/>
          <w:lang w:val="en-GB"/>
        </w:rPr>
        <w:t xml:space="preserve"> and Live Animals</w:t>
      </w:r>
      <w:r w:rsidR="00870411">
        <w:rPr>
          <w:rFonts w:ascii="Times New Roman" w:hAnsi="Times New Roman" w:cs="Times New Roman"/>
          <w:bCs/>
          <w:sz w:val="24"/>
          <w:szCs w:val="24"/>
          <w:lang w:val="en-GB"/>
        </w:rPr>
        <w:t>; Animal Products</w:t>
      </w:r>
      <w:r w:rsidR="007D2D89">
        <w:rPr>
          <w:rFonts w:ascii="Times New Roman" w:hAnsi="Times New Roman" w:cs="Times New Roman"/>
          <w:bCs/>
          <w:sz w:val="24"/>
          <w:szCs w:val="24"/>
          <w:lang w:val="en-GB"/>
        </w:rPr>
        <w:t xml:space="preserve"> with 15.38%</w:t>
      </w:r>
      <w:r w:rsidRPr="00491B58">
        <w:rPr>
          <w:rFonts w:ascii="Times New Roman" w:hAnsi="Times New Roman" w:cs="Times New Roman"/>
          <w:bCs/>
          <w:sz w:val="24"/>
          <w:szCs w:val="24"/>
          <w:lang w:val="en-GB"/>
        </w:rPr>
        <w:t xml:space="preserve">. From the presented data, we understand that these </w:t>
      </w:r>
      <w:r w:rsidR="007D2D89">
        <w:rPr>
          <w:rFonts w:ascii="Times New Roman" w:hAnsi="Times New Roman" w:cs="Times New Roman"/>
          <w:bCs/>
          <w:sz w:val="24"/>
          <w:szCs w:val="24"/>
          <w:lang w:val="en-GB"/>
        </w:rPr>
        <w:t xml:space="preserve">3 </w:t>
      </w:r>
      <w:r w:rsidRPr="00491B58">
        <w:rPr>
          <w:rFonts w:ascii="Times New Roman" w:hAnsi="Times New Roman" w:cs="Times New Roman"/>
          <w:bCs/>
          <w:sz w:val="24"/>
          <w:szCs w:val="24"/>
          <w:lang w:val="en-GB"/>
        </w:rPr>
        <w:t xml:space="preserve">sectors account for </w:t>
      </w:r>
      <w:r w:rsidR="007D2D89">
        <w:rPr>
          <w:rFonts w:ascii="Times New Roman" w:hAnsi="Times New Roman" w:cs="Times New Roman"/>
          <w:bCs/>
          <w:sz w:val="24"/>
          <w:szCs w:val="24"/>
          <w:lang w:val="en-GB"/>
        </w:rPr>
        <w:t>80.76</w:t>
      </w:r>
      <w:r w:rsidRPr="00491B58">
        <w:rPr>
          <w:rFonts w:ascii="Times New Roman" w:hAnsi="Times New Roman" w:cs="Times New Roman"/>
          <w:bCs/>
          <w:sz w:val="24"/>
          <w:szCs w:val="24"/>
          <w:lang w:val="en-GB"/>
        </w:rPr>
        <w:t xml:space="preserve">% of the total reported cases for non-tariff barriers </w:t>
      </w:r>
      <w:r w:rsidR="007D2D89">
        <w:rPr>
          <w:rFonts w:ascii="Times New Roman" w:hAnsi="Times New Roman" w:cs="Times New Roman"/>
          <w:bCs/>
          <w:sz w:val="24"/>
          <w:szCs w:val="24"/>
          <w:lang w:val="en-GB"/>
        </w:rPr>
        <w:t>identified</w:t>
      </w:r>
      <w:r w:rsidRPr="00491B58">
        <w:rPr>
          <w:rFonts w:ascii="Times New Roman" w:hAnsi="Times New Roman" w:cs="Times New Roman"/>
          <w:bCs/>
          <w:sz w:val="24"/>
          <w:szCs w:val="24"/>
          <w:lang w:val="en-GB"/>
        </w:rPr>
        <w:t xml:space="preserve"> within CEFTA countries.</w:t>
      </w:r>
    </w:p>
    <w:p w:rsidR="007C5F60" w:rsidRDefault="00035A78" w:rsidP="00491B58">
      <w:pPr>
        <w:spacing w:after="0" w:line="240" w:lineRule="auto"/>
        <w:jc w:val="both"/>
        <w:rPr>
          <w:rFonts w:ascii="Times New Roman" w:hAnsi="Times New Roman" w:cs="Times New Roman"/>
          <w:b/>
          <w:bCs/>
          <w:sz w:val="24"/>
          <w:szCs w:val="24"/>
          <w:lang w:val="en-GB"/>
        </w:rPr>
      </w:pPr>
      <w:r w:rsidRPr="00491B58">
        <w:rPr>
          <w:rFonts w:ascii="Times New Roman" w:hAnsi="Times New Roman" w:cs="Times New Roman"/>
          <w:b/>
          <w:bCs/>
          <w:sz w:val="24"/>
          <w:szCs w:val="24"/>
          <w:lang w:val="en-GB"/>
        </w:rPr>
        <w:t>F</w:t>
      </w:r>
      <w:r w:rsidR="007C5F60">
        <w:rPr>
          <w:rFonts w:ascii="Times New Roman" w:hAnsi="Times New Roman" w:cs="Times New Roman"/>
          <w:b/>
          <w:bCs/>
          <w:sz w:val="24"/>
          <w:szCs w:val="24"/>
          <w:lang w:val="en-GB"/>
        </w:rPr>
        <w:t>igure 3:</w:t>
      </w:r>
    </w:p>
    <w:p w:rsidR="007C5F60" w:rsidRDefault="007C5F60" w:rsidP="00491B58">
      <w:pPr>
        <w:spacing w:after="0" w:line="240" w:lineRule="auto"/>
        <w:jc w:val="both"/>
        <w:rPr>
          <w:rFonts w:ascii="Times New Roman" w:hAnsi="Times New Roman" w:cs="Times New Roman"/>
          <w:b/>
          <w:bCs/>
          <w:sz w:val="24"/>
          <w:szCs w:val="24"/>
          <w:lang w:val="en-GB"/>
        </w:rPr>
      </w:pPr>
    </w:p>
    <w:p w:rsidR="0023357A" w:rsidRDefault="00035A78" w:rsidP="007C5F60">
      <w:pPr>
        <w:spacing w:after="0" w:line="240" w:lineRule="auto"/>
        <w:jc w:val="both"/>
        <w:rPr>
          <w:rFonts w:ascii="Times New Roman" w:hAnsi="Times New Roman" w:cs="Times New Roman"/>
          <w:b/>
          <w:bCs/>
          <w:sz w:val="24"/>
          <w:szCs w:val="24"/>
          <w:lang w:val="en-GB"/>
        </w:rPr>
      </w:pPr>
      <w:r w:rsidRPr="00491B58">
        <w:rPr>
          <w:rFonts w:ascii="Times New Roman" w:hAnsi="Times New Roman" w:cs="Times New Roman"/>
          <w:b/>
          <w:bCs/>
          <w:noProof/>
          <w:sz w:val="24"/>
          <w:szCs w:val="24"/>
          <w:lang w:val="en-US"/>
        </w:rPr>
        <w:drawing>
          <wp:inline distT="0" distB="0" distL="0" distR="0">
            <wp:extent cx="5730875" cy="2571750"/>
            <wp:effectExtent l="0" t="0" r="3175" b="0"/>
            <wp:docPr id="3" name="Picture 3" descr="C:\Users\ZEF~1.DED\AppData\Local\Temp\chart-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357254" name="Picture 3" descr="C:\Users\ZEF~1.DED\AppData\Local\Temp\chart-1.jpe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732805" cy="2572616"/>
                    </a:xfrm>
                    <a:prstGeom prst="rect">
                      <a:avLst/>
                    </a:prstGeom>
                    <a:noFill/>
                    <a:ln>
                      <a:noFill/>
                    </a:ln>
                  </pic:spPr>
                </pic:pic>
              </a:graphicData>
            </a:graphic>
          </wp:inline>
        </w:drawing>
      </w:r>
    </w:p>
    <w:p w:rsidR="007C5F60" w:rsidRPr="007C5F60" w:rsidRDefault="007C5F60" w:rsidP="007C5F60">
      <w:pPr>
        <w:spacing w:after="0" w:line="240" w:lineRule="auto"/>
        <w:jc w:val="both"/>
        <w:rPr>
          <w:rFonts w:ascii="Times New Roman" w:hAnsi="Times New Roman" w:cs="Times New Roman"/>
          <w:b/>
          <w:bCs/>
          <w:sz w:val="24"/>
          <w:szCs w:val="24"/>
          <w:lang w:val="en-GB"/>
        </w:rPr>
      </w:pPr>
    </w:p>
    <w:p w:rsidR="00CB5B92" w:rsidRPr="00491B58" w:rsidRDefault="00035A78" w:rsidP="00B459D2">
      <w:pPr>
        <w:numPr>
          <w:ilvl w:val="0"/>
          <w:numId w:val="8"/>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01</w:t>
      </w:r>
      <w:r w:rsidRPr="00491B58">
        <w:rPr>
          <w:rFonts w:ascii="Times New Roman" w:eastAsia="Times New Roman" w:hAnsi="Times New Roman" w:cs="Times New Roman"/>
          <w:sz w:val="20"/>
          <w:szCs w:val="20"/>
          <w:lang w:val="en-GB"/>
        </w:rPr>
        <w:t> - Live Animals; Animal Products</w:t>
      </w:r>
    </w:p>
    <w:p w:rsidR="00CB5B92" w:rsidRPr="00491B58" w:rsidRDefault="00035A78" w:rsidP="00B459D2">
      <w:pPr>
        <w:numPr>
          <w:ilvl w:val="0"/>
          <w:numId w:val="8"/>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02</w:t>
      </w:r>
      <w:r w:rsidRPr="00491B58">
        <w:rPr>
          <w:rFonts w:ascii="Times New Roman" w:eastAsia="Times New Roman" w:hAnsi="Times New Roman" w:cs="Times New Roman"/>
          <w:sz w:val="20"/>
          <w:szCs w:val="20"/>
          <w:lang w:val="en-GB"/>
        </w:rPr>
        <w:t> - Vegetable Products</w:t>
      </w:r>
    </w:p>
    <w:p w:rsidR="00CB5B92" w:rsidRPr="00491B58" w:rsidRDefault="00035A78" w:rsidP="00B459D2">
      <w:pPr>
        <w:numPr>
          <w:ilvl w:val="0"/>
          <w:numId w:val="8"/>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03</w:t>
      </w:r>
      <w:r w:rsidRPr="00491B58">
        <w:rPr>
          <w:rFonts w:ascii="Times New Roman" w:eastAsia="Times New Roman" w:hAnsi="Times New Roman" w:cs="Times New Roman"/>
          <w:sz w:val="20"/>
          <w:szCs w:val="20"/>
          <w:lang w:val="en-GB"/>
        </w:rPr>
        <w:t> - Animal or Vegetable Fats and Oils and Their Cleavage Products; Prepared Edible Fats; Animal or Vegetable Waxes</w:t>
      </w:r>
    </w:p>
    <w:p w:rsidR="00CB5B92" w:rsidRPr="00491B58" w:rsidRDefault="00035A78" w:rsidP="00B459D2">
      <w:pPr>
        <w:numPr>
          <w:ilvl w:val="0"/>
          <w:numId w:val="8"/>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04</w:t>
      </w:r>
      <w:r w:rsidRPr="00491B58">
        <w:rPr>
          <w:rFonts w:ascii="Times New Roman" w:eastAsia="Times New Roman" w:hAnsi="Times New Roman" w:cs="Times New Roman"/>
          <w:sz w:val="20"/>
          <w:szCs w:val="20"/>
          <w:lang w:val="en-GB"/>
        </w:rPr>
        <w:t> - Prepared Foodstuffs; Beverages, Spirits and Vinegar; Tobacco and Manufactured Tobacco Substitutes</w:t>
      </w:r>
    </w:p>
    <w:p w:rsidR="00CB5B92" w:rsidRPr="00491B58" w:rsidRDefault="00035A78" w:rsidP="00B459D2">
      <w:pPr>
        <w:numPr>
          <w:ilvl w:val="0"/>
          <w:numId w:val="8"/>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05</w:t>
      </w:r>
      <w:r w:rsidRPr="00491B58">
        <w:rPr>
          <w:rFonts w:ascii="Times New Roman" w:eastAsia="Times New Roman" w:hAnsi="Times New Roman" w:cs="Times New Roman"/>
          <w:sz w:val="20"/>
          <w:szCs w:val="20"/>
          <w:lang w:val="en-GB"/>
        </w:rPr>
        <w:t> - Mineral Products</w:t>
      </w:r>
    </w:p>
    <w:p w:rsidR="00CB5B92" w:rsidRPr="00491B58" w:rsidRDefault="00035A78" w:rsidP="00B459D2">
      <w:pPr>
        <w:numPr>
          <w:ilvl w:val="0"/>
          <w:numId w:val="8"/>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06</w:t>
      </w:r>
      <w:r w:rsidRPr="00491B58">
        <w:rPr>
          <w:rFonts w:ascii="Times New Roman" w:eastAsia="Times New Roman" w:hAnsi="Times New Roman" w:cs="Times New Roman"/>
          <w:sz w:val="20"/>
          <w:szCs w:val="20"/>
          <w:lang w:val="en-GB"/>
        </w:rPr>
        <w:t> - Products of the Chemical or Allied Industries</w:t>
      </w:r>
    </w:p>
    <w:p w:rsidR="00CB5B92" w:rsidRPr="00491B58" w:rsidRDefault="00035A78" w:rsidP="00B459D2">
      <w:pPr>
        <w:numPr>
          <w:ilvl w:val="0"/>
          <w:numId w:val="8"/>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07</w:t>
      </w:r>
      <w:r w:rsidRPr="00491B58">
        <w:rPr>
          <w:rFonts w:ascii="Times New Roman" w:eastAsia="Times New Roman" w:hAnsi="Times New Roman" w:cs="Times New Roman"/>
          <w:sz w:val="20"/>
          <w:szCs w:val="20"/>
          <w:lang w:val="en-GB"/>
        </w:rPr>
        <w:t> - Plastics and Articles Thereof; Rubber and Articles Thereof</w:t>
      </w:r>
    </w:p>
    <w:p w:rsidR="00CB5B92" w:rsidRPr="00491B58" w:rsidRDefault="00035A78" w:rsidP="00B459D2">
      <w:pPr>
        <w:numPr>
          <w:ilvl w:val="0"/>
          <w:numId w:val="8"/>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08</w:t>
      </w:r>
      <w:r w:rsidRPr="00491B58">
        <w:rPr>
          <w:rFonts w:ascii="Times New Roman" w:eastAsia="Times New Roman" w:hAnsi="Times New Roman" w:cs="Times New Roman"/>
          <w:sz w:val="20"/>
          <w:szCs w:val="20"/>
          <w:lang w:val="en-GB"/>
        </w:rPr>
        <w:t xml:space="preserve"> - Raw Hides and Skins, Leather, </w:t>
      </w:r>
      <w:proofErr w:type="spellStart"/>
      <w:r w:rsidRPr="00491B58">
        <w:rPr>
          <w:rFonts w:ascii="Times New Roman" w:eastAsia="Times New Roman" w:hAnsi="Times New Roman" w:cs="Times New Roman"/>
          <w:sz w:val="20"/>
          <w:szCs w:val="20"/>
          <w:lang w:val="en-GB"/>
        </w:rPr>
        <w:t>Furskins</w:t>
      </w:r>
      <w:proofErr w:type="spellEnd"/>
      <w:r w:rsidRPr="00491B58">
        <w:rPr>
          <w:rFonts w:ascii="Times New Roman" w:eastAsia="Times New Roman" w:hAnsi="Times New Roman" w:cs="Times New Roman"/>
          <w:sz w:val="20"/>
          <w:szCs w:val="20"/>
          <w:lang w:val="en-GB"/>
        </w:rPr>
        <w:t xml:space="preserve"> and Articles Thereof; Saddlery and Harness; Travel Goods, Handbags and Similar Containers; Articles of Animal Gut (Other than Silk-Worm Gut)</w:t>
      </w:r>
    </w:p>
    <w:p w:rsidR="00CB5B92" w:rsidRPr="00491B58" w:rsidRDefault="00035A78" w:rsidP="00B459D2">
      <w:pPr>
        <w:numPr>
          <w:ilvl w:val="0"/>
          <w:numId w:val="8"/>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09</w:t>
      </w:r>
      <w:r w:rsidRPr="00491B58">
        <w:rPr>
          <w:rFonts w:ascii="Times New Roman" w:eastAsia="Times New Roman" w:hAnsi="Times New Roman" w:cs="Times New Roman"/>
          <w:sz w:val="20"/>
          <w:szCs w:val="20"/>
          <w:lang w:val="en-GB"/>
        </w:rPr>
        <w:t xml:space="preserve"> - Wood and Articles of Wood; Wood Charcoal; Cork and Articles of Cork; Manufactures of Straw, of Esparto or Other Plaiting Materials; </w:t>
      </w:r>
      <w:proofErr w:type="spellStart"/>
      <w:r w:rsidRPr="00491B58">
        <w:rPr>
          <w:rFonts w:ascii="Times New Roman" w:eastAsia="Times New Roman" w:hAnsi="Times New Roman" w:cs="Times New Roman"/>
          <w:sz w:val="20"/>
          <w:szCs w:val="20"/>
          <w:lang w:val="en-GB"/>
        </w:rPr>
        <w:t>Basketware</w:t>
      </w:r>
      <w:proofErr w:type="spellEnd"/>
      <w:r w:rsidRPr="00491B58">
        <w:rPr>
          <w:rFonts w:ascii="Times New Roman" w:eastAsia="Times New Roman" w:hAnsi="Times New Roman" w:cs="Times New Roman"/>
          <w:sz w:val="20"/>
          <w:szCs w:val="20"/>
          <w:lang w:val="en-GB"/>
        </w:rPr>
        <w:t xml:space="preserve"> and Wickerwork </w:t>
      </w:r>
    </w:p>
    <w:p w:rsidR="00CB5B92" w:rsidRPr="00491B58" w:rsidRDefault="00035A78" w:rsidP="00B459D2">
      <w:pPr>
        <w:numPr>
          <w:ilvl w:val="0"/>
          <w:numId w:val="8"/>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10</w:t>
      </w:r>
      <w:r w:rsidRPr="00491B58">
        <w:rPr>
          <w:rFonts w:ascii="Times New Roman" w:eastAsia="Times New Roman" w:hAnsi="Times New Roman" w:cs="Times New Roman"/>
          <w:sz w:val="20"/>
          <w:szCs w:val="20"/>
          <w:lang w:val="en-GB"/>
        </w:rPr>
        <w:t xml:space="preserve"> - Pulp of Wood or Other Fibrous Cellulosic Material; Recovered (Waste and Scrap) Paper or Paperboard; Paper and Paperboard and Articles Thereof </w:t>
      </w:r>
    </w:p>
    <w:p w:rsidR="00CB5B92" w:rsidRPr="00491B58" w:rsidRDefault="00035A78" w:rsidP="00B459D2">
      <w:pPr>
        <w:numPr>
          <w:ilvl w:val="0"/>
          <w:numId w:val="8"/>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11</w:t>
      </w:r>
      <w:r w:rsidRPr="00491B58">
        <w:rPr>
          <w:rFonts w:ascii="Times New Roman" w:eastAsia="Times New Roman" w:hAnsi="Times New Roman" w:cs="Times New Roman"/>
          <w:sz w:val="20"/>
          <w:szCs w:val="20"/>
          <w:lang w:val="en-GB"/>
        </w:rPr>
        <w:t> - Textiles and Textile Articles</w:t>
      </w:r>
    </w:p>
    <w:p w:rsidR="00CB5B92" w:rsidRPr="00491B58" w:rsidRDefault="00035A78" w:rsidP="00B459D2">
      <w:pPr>
        <w:numPr>
          <w:ilvl w:val="0"/>
          <w:numId w:val="8"/>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12</w:t>
      </w:r>
      <w:r w:rsidRPr="00491B58">
        <w:rPr>
          <w:rFonts w:ascii="Times New Roman" w:eastAsia="Times New Roman" w:hAnsi="Times New Roman" w:cs="Times New Roman"/>
          <w:sz w:val="20"/>
          <w:szCs w:val="20"/>
          <w:lang w:val="en-GB"/>
        </w:rPr>
        <w:t xml:space="preserve"> - Footwear, Headgear, Umbrellas, Sun Umbrellas, Walking-Sticks, Seat-Sticks, Whips, Riding-Crops and Parts Thereof; Prepared Feathers and Articles Made Therewith; Artificial Flowers; Articles of Human hair </w:t>
      </w:r>
    </w:p>
    <w:p w:rsidR="00CB5B92" w:rsidRPr="00491B58" w:rsidRDefault="00035A78" w:rsidP="00B459D2">
      <w:pPr>
        <w:numPr>
          <w:ilvl w:val="0"/>
          <w:numId w:val="8"/>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lastRenderedPageBreak/>
        <w:t>13</w:t>
      </w:r>
      <w:r w:rsidRPr="00491B58">
        <w:rPr>
          <w:rFonts w:ascii="Times New Roman" w:eastAsia="Times New Roman" w:hAnsi="Times New Roman" w:cs="Times New Roman"/>
          <w:sz w:val="20"/>
          <w:szCs w:val="20"/>
          <w:lang w:val="en-GB"/>
        </w:rPr>
        <w:t> - Articles of Stone, Plaster, Cement, Asbestos, Mica or Similar Materials; Ceramic Products; Glass and Glassware</w:t>
      </w:r>
    </w:p>
    <w:p w:rsidR="00CB5B92" w:rsidRPr="00491B58" w:rsidRDefault="00035A78" w:rsidP="00B459D2">
      <w:pPr>
        <w:numPr>
          <w:ilvl w:val="0"/>
          <w:numId w:val="8"/>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14</w:t>
      </w:r>
      <w:r w:rsidRPr="00491B58">
        <w:rPr>
          <w:rFonts w:ascii="Times New Roman" w:eastAsia="Times New Roman" w:hAnsi="Times New Roman" w:cs="Times New Roman"/>
          <w:sz w:val="20"/>
          <w:szCs w:val="20"/>
          <w:lang w:val="en-GB"/>
        </w:rPr>
        <w:t xml:space="preserve"> - Natural or Cultured Pearls, Precious or Semi-Precious Stones, Precious Metals, Metals Clad with Precious Metal and Articles Thereof; Imitation Jewellery; Coin </w:t>
      </w:r>
    </w:p>
    <w:p w:rsidR="00CB5B92" w:rsidRPr="00491B58" w:rsidRDefault="00035A78" w:rsidP="00B459D2">
      <w:pPr>
        <w:numPr>
          <w:ilvl w:val="0"/>
          <w:numId w:val="8"/>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15</w:t>
      </w:r>
      <w:r w:rsidRPr="00491B58">
        <w:rPr>
          <w:rFonts w:ascii="Times New Roman" w:eastAsia="Times New Roman" w:hAnsi="Times New Roman" w:cs="Times New Roman"/>
          <w:sz w:val="20"/>
          <w:szCs w:val="20"/>
          <w:lang w:val="en-GB"/>
        </w:rPr>
        <w:t> - Base Metals and Articles of Base Metal</w:t>
      </w:r>
    </w:p>
    <w:p w:rsidR="00CB5B92" w:rsidRPr="00491B58" w:rsidRDefault="00035A78" w:rsidP="00B459D2">
      <w:pPr>
        <w:numPr>
          <w:ilvl w:val="0"/>
          <w:numId w:val="8"/>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16</w:t>
      </w:r>
      <w:r w:rsidRPr="00491B58">
        <w:rPr>
          <w:rFonts w:ascii="Times New Roman" w:eastAsia="Times New Roman" w:hAnsi="Times New Roman" w:cs="Times New Roman"/>
          <w:sz w:val="20"/>
          <w:szCs w:val="20"/>
          <w:lang w:val="en-GB"/>
        </w:rPr>
        <w:t> - Machinery and Mechanical Appliances; Electrical Equipment: Parts Thereof; Sound Recorders and Reproducers, Television Image and Sound Recorders and Reproducers, and Parts and Accessories of Such Articles</w:t>
      </w:r>
    </w:p>
    <w:p w:rsidR="00CB5B92" w:rsidRPr="00491B58" w:rsidRDefault="00035A78" w:rsidP="00B459D2">
      <w:pPr>
        <w:numPr>
          <w:ilvl w:val="0"/>
          <w:numId w:val="8"/>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17</w:t>
      </w:r>
      <w:r w:rsidRPr="00491B58">
        <w:rPr>
          <w:rFonts w:ascii="Times New Roman" w:eastAsia="Times New Roman" w:hAnsi="Times New Roman" w:cs="Times New Roman"/>
          <w:sz w:val="20"/>
          <w:szCs w:val="20"/>
          <w:lang w:val="en-GB"/>
        </w:rPr>
        <w:t> - Vehicles, Aircraft, Vessels and Associated Transport Equipment</w:t>
      </w:r>
    </w:p>
    <w:p w:rsidR="00CB5B92" w:rsidRPr="00491B58" w:rsidRDefault="00035A78" w:rsidP="00B459D2">
      <w:pPr>
        <w:numPr>
          <w:ilvl w:val="0"/>
          <w:numId w:val="8"/>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18</w:t>
      </w:r>
      <w:r w:rsidRPr="00491B58">
        <w:rPr>
          <w:rFonts w:ascii="Times New Roman" w:eastAsia="Times New Roman" w:hAnsi="Times New Roman" w:cs="Times New Roman"/>
          <w:sz w:val="20"/>
          <w:szCs w:val="20"/>
          <w:lang w:val="en-GB"/>
        </w:rPr>
        <w:t> - Optical, Photographic, Cinematographic, Measuring, Checking, Precision, Medical or Surgical Instruments and Apparatus; Clocks and Watches; Musical Instruments; Parts and Accessories Thereof</w:t>
      </w:r>
    </w:p>
    <w:p w:rsidR="00CB5B92" w:rsidRPr="00491B58" w:rsidRDefault="00035A78" w:rsidP="00B459D2">
      <w:pPr>
        <w:numPr>
          <w:ilvl w:val="0"/>
          <w:numId w:val="8"/>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19</w:t>
      </w:r>
      <w:r w:rsidRPr="00491B58">
        <w:rPr>
          <w:rFonts w:ascii="Times New Roman" w:eastAsia="Times New Roman" w:hAnsi="Times New Roman" w:cs="Times New Roman"/>
          <w:sz w:val="20"/>
          <w:szCs w:val="20"/>
          <w:lang w:val="en-GB"/>
        </w:rPr>
        <w:t> - Arms and Ammunition; Parts and Accessories Thereof</w:t>
      </w:r>
    </w:p>
    <w:p w:rsidR="00CB5B92" w:rsidRPr="00491B58" w:rsidRDefault="00035A78" w:rsidP="00B459D2">
      <w:pPr>
        <w:numPr>
          <w:ilvl w:val="0"/>
          <w:numId w:val="8"/>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20</w:t>
      </w:r>
      <w:r w:rsidRPr="00491B58">
        <w:rPr>
          <w:rFonts w:ascii="Times New Roman" w:eastAsia="Times New Roman" w:hAnsi="Times New Roman" w:cs="Times New Roman"/>
          <w:sz w:val="20"/>
          <w:szCs w:val="20"/>
          <w:lang w:val="en-GB"/>
        </w:rPr>
        <w:t> - Miscellaneous Manufactured Articles</w:t>
      </w:r>
    </w:p>
    <w:p w:rsidR="00CB5B92" w:rsidRPr="00491B58" w:rsidRDefault="00035A78" w:rsidP="00B459D2">
      <w:pPr>
        <w:numPr>
          <w:ilvl w:val="0"/>
          <w:numId w:val="8"/>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21</w:t>
      </w:r>
      <w:r w:rsidRPr="00491B58">
        <w:rPr>
          <w:rFonts w:ascii="Times New Roman" w:eastAsia="Times New Roman" w:hAnsi="Times New Roman" w:cs="Times New Roman"/>
          <w:sz w:val="20"/>
          <w:szCs w:val="20"/>
          <w:lang w:val="en-GB"/>
        </w:rPr>
        <w:t> - Works of Art, Collectors Pieces and Antiques</w:t>
      </w:r>
    </w:p>
    <w:p w:rsidR="00CB5B92" w:rsidRPr="00491B58" w:rsidRDefault="00035A78" w:rsidP="00B459D2">
      <w:pPr>
        <w:numPr>
          <w:ilvl w:val="0"/>
          <w:numId w:val="8"/>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00</w:t>
      </w:r>
      <w:r w:rsidRPr="00491B58">
        <w:rPr>
          <w:rFonts w:ascii="Times New Roman" w:eastAsia="Times New Roman" w:hAnsi="Times New Roman" w:cs="Times New Roman"/>
          <w:sz w:val="20"/>
          <w:szCs w:val="20"/>
          <w:lang w:val="en-GB"/>
        </w:rPr>
        <w:t> - All</w:t>
      </w:r>
    </w:p>
    <w:p w:rsidR="00CB5B92" w:rsidRPr="00491B58" w:rsidRDefault="00035A78" w:rsidP="00B459D2">
      <w:pPr>
        <w:numPr>
          <w:ilvl w:val="0"/>
          <w:numId w:val="8"/>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N/A</w:t>
      </w:r>
      <w:r w:rsidRPr="00491B58">
        <w:rPr>
          <w:rFonts w:ascii="Times New Roman" w:eastAsia="Times New Roman" w:hAnsi="Times New Roman" w:cs="Times New Roman"/>
          <w:sz w:val="20"/>
          <w:szCs w:val="20"/>
          <w:lang w:val="en-GB"/>
        </w:rPr>
        <w:t> - N/A</w:t>
      </w:r>
    </w:p>
    <w:p w:rsidR="00B459D2" w:rsidRDefault="00B459D2" w:rsidP="00491B58">
      <w:pPr>
        <w:spacing w:after="0" w:line="360" w:lineRule="auto"/>
        <w:jc w:val="both"/>
        <w:rPr>
          <w:rFonts w:ascii="Times New Roman" w:hAnsi="Times New Roman" w:cs="Times New Roman"/>
          <w:bCs/>
          <w:sz w:val="24"/>
          <w:szCs w:val="24"/>
          <w:lang w:val="en-GB"/>
        </w:rPr>
      </w:pPr>
    </w:p>
    <w:p w:rsidR="00E13C96" w:rsidRPr="00491B58" w:rsidRDefault="00035A78" w:rsidP="00B459D2">
      <w:pPr>
        <w:spacing w:after="0" w:line="360" w:lineRule="auto"/>
        <w:jc w:val="both"/>
        <w:rPr>
          <w:rFonts w:ascii="Times New Roman" w:hAnsi="Times New Roman" w:cs="Times New Roman"/>
          <w:bCs/>
          <w:sz w:val="24"/>
          <w:szCs w:val="24"/>
          <w:lang w:val="en-GB"/>
        </w:rPr>
      </w:pPr>
      <w:r w:rsidRPr="00491B58">
        <w:rPr>
          <w:rFonts w:ascii="Times New Roman" w:hAnsi="Times New Roman" w:cs="Times New Roman"/>
          <w:bCs/>
          <w:sz w:val="24"/>
          <w:szCs w:val="24"/>
          <w:lang w:val="en-GB"/>
        </w:rPr>
        <w:t xml:space="preserve">It is worth noting that most of the restrictive measures imposed by all CEFTA countries </w:t>
      </w:r>
      <w:r w:rsidR="00CD2602" w:rsidRPr="00491B58">
        <w:rPr>
          <w:rFonts w:ascii="Times New Roman" w:hAnsi="Times New Roman" w:cs="Times New Roman"/>
          <w:bCs/>
          <w:sz w:val="24"/>
          <w:szCs w:val="24"/>
          <w:lang w:val="en-GB"/>
        </w:rPr>
        <w:t xml:space="preserve">are </w:t>
      </w:r>
      <w:r w:rsidRPr="00491B58">
        <w:rPr>
          <w:rFonts w:ascii="Times New Roman" w:hAnsi="Times New Roman" w:cs="Times New Roman"/>
          <w:bCs/>
          <w:sz w:val="24"/>
          <w:szCs w:val="24"/>
          <w:lang w:val="en-GB"/>
        </w:rPr>
        <w:t>mainly concern</w:t>
      </w:r>
      <w:r w:rsidR="00CD2602" w:rsidRPr="00491B58">
        <w:rPr>
          <w:rFonts w:ascii="Times New Roman" w:hAnsi="Times New Roman" w:cs="Times New Roman"/>
          <w:bCs/>
          <w:sz w:val="24"/>
          <w:szCs w:val="24"/>
          <w:lang w:val="en-GB"/>
        </w:rPr>
        <w:t>ing</w:t>
      </w:r>
      <w:r w:rsidRPr="00491B58">
        <w:rPr>
          <w:rFonts w:ascii="Times New Roman" w:hAnsi="Times New Roman" w:cs="Times New Roman"/>
          <w:bCs/>
          <w:sz w:val="24"/>
          <w:szCs w:val="24"/>
          <w:lang w:val="en-GB"/>
        </w:rPr>
        <w:t xml:space="preserve"> the </w:t>
      </w:r>
      <w:r w:rsidR="00CD2602" w:rsidRPr="00491B58">
        <w:rPr>
          <w:rFonts w:ascii="Times New Roman" w:hAnsi="Times New Roman" w:cs="Times New Roman"/>
          <w:bCs/>
          <w:sz w:val="24"/>
          <w:szCs w:val="24"/>
          <w:lang w:val="en-GB"/>
        </w:rPr>
        <w:t>nature</w:t>
      </w:r>
      <w:r w:rsidRPr="00491B58">
        <w:rPr>
          <w:rFonts w:ascii="Times New Roman" w:hAnsi="Times New Roman" w:cs="Times New Roman"/>
          <w:bCs/>
          <w:sz w:val="24"/>
          <w:szCs w:val="24"/>
          <w:lang w:val="en-GB"/>
        </w:rPr>
        <w:t xml:space="preserve"> of Sanitary and phytosanitary measures</w:t>
      </w:r>
      <w:r w:rsidR="00A51A81" w:rsidRPr="00491B58">
        <w:rPr>
          <w:rFonts w:ascii="Times New Roman" w:hAnsi="Times New Roman" w:cs="Times New Roman"/>
          <w:bCs/>
          <w:sz w:val="24"/>
          <w:szCs w:val="24"/>
          <w:lang w:val="en-GB"/>
        </w:rPr>
        <w:t xml:space="preserve">. In total </w:t>
      </w:r>
      <w:r w:rsidRPr="00491B58">
        <w:rPr>
          <w:rFonts w:ascii="Times New Roman" w:hAnsi="Times New Roman" w:cs="Times New Roman"/>
          <w:bCs/>
          <w:sz w:val="24"/>
          <w:szCs w:val="24"/>
          <w:lang w:val="en-GB"/>
        </w:rPr>
        <w:t xml:space="preserve"> 28.70% of </w:t>
      </w:r>
      <w:r w:rsidR="00A51A81" w:rsidRPr="00491B58">
        <w:rPr>
          <w:rFonts w:ascii="Times New Roman" w:hAnsi="Times New Roman" w:cs="Times New Roman"/>
          <w:bCs/>
          <w:sz w:val="24"/>
          <w:szCs w:val="24"/>
          <w:lang w:val="en-GB"/>
        </w:rPr>
        <w:t xml:space="preserve">the </w:t>
      </w:r>
      <w:r w:rsidRPr="00491B58">
        <w:rPr>
          <w:rFonts w:ascii="Times New Roman" w:hAnsi="Times New Roman" w:cs="Times New Roman"/>
          <w:bCs/>
          <w:sz w:val="24"/>
          <w:szCs w:val="24"/>
          <w:lang w:val="en-GB"/>
        </w:rPr>
        <w:t xml:space="preserve">cases followed by </w:t>
      </w:r>
      <w:r w:rsidR="00A51A81" w:rsidRPr="00491B58">
        <w:rPr>
          <w:rFonts w:ascii="Times New Roman" w:hAnsi="Times New Roman" w:cs="Times New Roman"/>
          <w:bCs/>
          <w:sz w:val="24"/>
          <w:szCs w:val="24"/>
          <w:lang w:val="en-GB"/>
        </w:rPr>
        <w:t>p</w:t>
      </w:r>
      <w:r w:rsidRPr="00491B58">
        <w:rPr>
          <w:rFonts w:ascii="Times New Roman" w:hAnsi="Times New Roman" w:cs="Times New Roman"/>
          <w:bCs/>
          <w:sz w:val="24"/>
          <w:szCs w:val="24"/>
          <w:lang w:val="en-GB"/>
        </w:rPr>
        <w:t xml:space="preserve">rice control measures, including additional taxes and charges </w:t>
      </w:r>
      <w:r w:rsidR="00A51A81" w:rsidRPr="00491B58">
        <w:rPr>
          <w:rFonts w:ascii="Times New Roman" w:hAnsi="Times New Roman" w:cs="Times New Roman"/>
          <w:bCs/>
          <w:sz w:val="24"/>
          <w:szCs w:val="24"/>
          <w:lang w:val="en-GB"/>
        </w:rPr>
        <w:t xml:space="preserve">of </w:t>
      </w:r>
      <w:r w:rsidRPr="00491B58">
        <w:rPr>
          <w:rFonts w:ascii="Times New Roman" w:hAnsi="Times New Roman" w:cs="Times New Roman"/>
          <w:bCs/>
          <w:sz w:val="24"/>
          <w:szCs w:val="24"/>
          <w:lang w:val="en-GB"/>
        </w:rPr>
        <w:t xml:space="preserve">17.59%, </w:t>
      </w:r>
      <w:r w:rsidR="00A51A81" w:rsidRPr="00491B58">
        <w:rPr>
          <w:rFonts w:ascii="Times New Roman" w:hAnsi="Times New Roman" w:cs="Times New Roman"/>
          <w:bCs/>
          <w:sz w:val="24"/>
          <w:szCs w:val="24"/>
          <w:lang w:val="en-GB"/>
        </w:rPr>
        <w:t>as well as t</w:t>
      </w:r>
      <w:r w:rsidRPr="00491B58">
        <w:rPr>
          <w:rFonts w:ascii="Times New Roman" w:hAnsi="Times New Roman" w:cs="Times New Roman"/>
          <w:bCs/>
          <w:sz w:val="24"/>
          <w:szCs w:val="24"/>
          <w:lang w:val="en-GB"/>
        </w:rPr>
        <w:t xml:space="preserve">echnical barriers to trade </w:t>
      </w:r>
      <w:r w:rsidR="00A51A81" w:rsidRPr="00491B58">
        <w:rPr>
          <w:rFonts w:ascii="Times New Roman" w:hAnsi="Times New Roman" w:cs="Times New Roman"/>
          <w:bCs/>
          <w:sz w:val="24"/>
          <w:szCs w:val="24"/>
          <w:lang w:val="en-GB"/>
        </w:rPr>
        <w:t xml:space="preserve">of </w:t>
      </w:r>
      <w:r w:rsidRPr="00491B58">
        <w:rPr>
          <w:rFonts w:ascii="Times New Roman" w:hAnsi="Times New Roman" w:cs="Times New Roman"/>
          <w:bCs/>
          <w:sz w:val="24"/>
          <w:szCs w:val="24"/>
          <w:lang w:val="en-GB"/>
        </w:rPr>
        <w:t>12% etc.</w:t>
      </w:r>
    </w:p>
    <w:p w:rsidR="00BD0284" w:rsidRDefault="00BD0284" w:rsidP="00491B58">
      <w:pPr>
        <w:spacing w:after="0" w:line="360" w:lineRule="auto"/>
        <w:jc w:val="both"/>
        <w:rPr>
          <w:rFonts w:ascii="Times New Roman" w:hAnsi="Times New Roman" w:cs="Times New Roman"/>
          <w:bCs/>
          <w:sz w:val="24"/>
          <w:szCs w:val="24"/>
          <w:lang w:val="en-GB"/>
        </w:rPr>
      </w:pPr>
    </w:p>
    <w:p w:rsidR="00BD0284" w:rsidRDefault="00BD0284" w:rsidP="00491B58">
      <w:pPr>
        <w:spacing w:after="0" w:line="360" w:lineRule="auto"/>
        <w:jc w:val="both"/>
        <w:rPr>
          <w:rFonts w:ascii="Times New Roman" w:hAnsi="Times New Roman" w:cs="Times New Roman"/>
          <w:bCs/>
          <w:sz w:val="24"/>
          <w:szCs w:val="24"/>
          <w:lang w:val="en-GB"/>
        </w:rPr>
      </w:pPr>
    </w:p>
    <w:p w:rsidR="00BD0284" w:rsidRDefault="00BD0284" w:rsidP="00491B58">
      <w:pPr>
        <w:spacing w:after="0" w:line="360" w:lineRule="auto"/>
        <w:jc w:val="both"/>
        <w:rPr>
          <w:rFonts w:ascii="Times New Roman" w:hAnsi="Times New Roman" w:cs="Times New Roman"/>
          <w:bCs/>
          <w:sz w:val="24"/>
          <w:szCs w:val="24"/>
          <w:lang w:val="en-GB"/>
        </w:rPr>
      </w:pPr>
    </w:p>
    <w:p w:rsidR="00BD0284" w:rsidRDefault="00BD0284" w:rsidP="00491B58">
      <w:pPr>
        <w:spacing w:after="0" w:line="360" w:lineRule="auto"/>
        <w:jc w:val="both"/>
        <w:rPr>
          <w:rFonts w:ascii="Times New Roman" w:hAnsi="Times New Roman" w:cs="Times New Roman"/>
          <w:bCs/>
          <w:sz w:val="24"/>
          <w:szCs w:val="24"/>
          <w:lang w:val="en-GB"/>
        </w:rPr>
      </w:pPr>
    </w:p>
    <w:p w:rsidR="00BD0284" w:rsidRDefault="00BD0284" w:rsidP="00491B58">
      <w:pPr>
        <w:spacing w:after="0" w:line="360" w:lineRule="auto"/>
        <w:jc w:val="both"/>
        <w:rPr>
          <w:rFonts w:ascii="Times New Roman" w:hAnsi="Times New Roman" w:cs="Times New Roman"/>
          <w:bCs/>
          <w:sz w:val="24"/>
          <w:szCs w:val="24"/>
          <w:lang w:val="en-GB"/>
        </w:rPr>
      </w:pPr>
    </w:p>
    <w:p w:rsidR="00BD0284" w:rsidRDefault="00BD0284" w:rsidP="00491B58">
      <w:pPr>
        <w:spacing w:after="0" w:line="360" w:lineRule="auto"/>
        <w:jc w:val="both"/>
        <w:rPr>
          <w:rFonts w:ascii="Times New Roman" w:hAnsi="Times New Roman" w:cs="Times New Roman"/>
          <w:bCs/>
          <w:sz w:val="24"/>
          <w:szCs w:val="24"/>
          <w:lang w:val="en-GB"/>
        </w:rPr>
      </w:pPr>
    </w:p>
    <w:p w:rsidR="00BD0284" w:rsidRDefault="00BD0284" w:rsidP="00491B58">
      <w:pPr>
        <w:spacing w:after="0" w:line="360" w:lineRule="auto"/>
        <w:jc w:val="both"/>
        <w:rPr>
          <w:rFonts w:ascii="Times New Roman" w:hAnsi="Times New Roman" w:cs="Times New Roman"/>
          <w:bCs/>
          <w:sz w:val="24"/>
          <w:szCs w:val="24"/>
          <w:lang w:val="en-GB"/>
        </w:rPr>
      </w:pPr>
    </w:p>
    <w:p w:rsidR="00BD0284" w:rsidRDefault="00BD0284" w:rsidP="00491B58">
      <w:pPr>
        <w:spacing w:after="0" w:line="360" w:lineRule="auto"/>
        <w:jc w:val="both"/>
        <w:rPr>
          <w:rFonts w:ascii="Times New Roman" w:hAnsi="Times New Roman" w:cs="Times New Roman"/>
          <w:bCs/>
          <w:sz w:val="24"/>
          <w:szCs w:val="24"/>
          <w:lang w:val="en-GB"/>
        </w:rPr>
      </w:pPr>
    </w:p>
    <w:p w:rsidR="00BD0284" w:rsidRDefault="00BD0284" w:rsidP="00491B58">
      <w:pPr>
        <w:spacing w:after="0" w:line="360" w:lineRule="auto"/>
        <w:jc w:val="both"/>
        <w:rPr>
          <w:rFonts w:ascii="Times New Roman" w:hAnsi="Times New Roman" w:cs="Times New Roman"/>
          <w:bCs/>
          <w:sz w:val="24"/>
          <w:szCs w:val="24"/>
          <w:lang w:val="en-GB"/>
        </w:rPr>
      </w:pPr>
    </w:p>
    <w:p w:rsidR="00BD0284" w:rsidRDefault="00BD0284" w:rsidP="00491B58">
      <w:pPr>
        <w:spacing w:after="0" w:line="360" w:lineRule="auto"/>
        <w:jc w:val="both"/>
        <w:rPr>
          <w:rFonts w:ascii="Times New Roman" w:hAnsi="Times New Roman" w:cs="Times New Roman"/>
          <w:bCs/>
          <w:sz w:val="24"/>
          <w:szCs w:val="24"/>
          <w:lang w:val="en-GB"/>
        </w:rPr>
      </w:pPr>
    </w:p>
    <w:p w:rsidR="00BD0284" w:rsidRDefault="00BD0284" w:rsidP="00491B58">
      <w:pPr>
        <w:spacing w:after="0" w:line="360" w:lineRule="auto"/>
        <w:jc w:val="both"/>
        <w:rPr>
          <w:rFonts w:ascii="Times New Roman" w:hAnsi="Times New Roman" w:cs="Times New Roman"/>
          <w:bCs/>
          <w:sz w:val="24"/>
          <w:szCs w:val="24"/>
          <w:lang w:val="en-GB"/>
        </w:rPr>
      </w:pPr>
    </w:p>
    <w:p w:rsidR="00BD0284" w:rsidRDefault="00BD0284" w:rsidP="00491B58">
      <w:pPr>
        <w:spacing w:after="0" w:line="360" w:lineRule="auto"/>
        <w:jc w:val="both"/>
        <w:rPr>
          <w:rFonts w:ascii="Times New Roman" w:hAnsi="Times New Roman" w:cs="Times New Roman"/>
          <w:bCs/>
          <w:sz w:val="24"/>
          <w:szCs w:val="24"/>
          <w:lang w:val="en-GB"/>
        </w:rPr>
      </w:pPr>
    </w:p>
    <w:p w:rsidR="00BD0284" w:rsidRDefault="00BD0284" w:rsidP="00491B58">
      <w:pPr>
        <w:spacing w:after="0" w:line="360" w:lineRule="auto"/>
        <w:jc w:val="both"/>
        <w:rPr>
          <w:rFonts w:ascii="Times New Roman" w:hAnsi="Times New Roman" w:cs="Times New Roman"/>
          <w:bCs/>
          <w:sz w:val="24"/>
          <w:szCs w:val="24"/>
          <w:lang w:val="en-GB"/>
        </w:rPr>
      </w:pPr>
    </w:p>
    <w:p w:rsidR="00BD0284" w:rsidRDefault="00BD0284" w:rsidP="00491B58">
      <w:pPr>
        <w:spacing w:after="0" w:line="360" w:lineRule="auto"/>
        <w:jc w:val="both"/>
        <w:rPr>
          <w:rFonts w:ascii="Times New Roman" w:hAnsi="Times New Roman" w:cs="Times New Roman"/>
          <w:bCs/>
          <w:sz w:val="24"/>
          <w:szCs w:val="24"/>
          <w:lang w:val="en-GB"/>
        </w:rPr>
      </w:pPr>
    </w:p>
    <w:p w:rsidR="00BD0284" w:rsidRDefault="00BD0284" w:rsidP="00491B58">
      <w:pPr>
        <w:spacing w:after="0" w:line="360" w:lineRule="auto"/>
        <w:jc w:val="both"/>
        <w:rPr>
          <w:rFonts w:ascii="Times New Roman" w:hAnsi="Times New Roman" w:cs="Times New Roman"/>
          <w:bCs/>
          <w:sz w:val="24"/>
          <w:szCs w:val="24"/>
          <w:lang w:val="en-GB"/>
        </w:rPr>
      </w:pPr>
    </w:p>
    <w:p w:rsidR="00BD0284" w:rsidRDefault="00BD0284" w:rsidP="00491B58">
      <w:pPr>
        <w:spacing w:after="0" w:line="360" w:lineRule="auto"/>
        <w:jc w:val="both"/>
        <w:rPr>
          <w:rFonts w:ascii="Times New Roman" w:hAnsi="Times New Roman" w:cs="Times New Roman"/>
          <w:bCs/>
          <w:sz w:val="24"/>
          <w:szCs w:val="24"/>
          <w:lang w:val="en-GB"/>
        </w:rPr>
      </w:pPr>
    </w:p>
    <w:p w:rsidR="00BD0284" w:rsidRDefault="00BD0284" w:rsidP="00491B58">
      <w:pPr>
        <w:spacing w:after="0" w:line="360" w:lineRule="auto"/>
        <w:jc w:val="both"/>
        <w:rPr>
          <w:rFonts w:ascii="Times New Roman" w:hAnsi="Times New Roman" w:cs="Times New Roman"/>
          <w:bCs/>
          <w:sz w:val="24"/>
          <w:szCs w:val="24"/>
          <w:lang w:val="en-GB"/>
        </w:rPr>
      </w:pPr>
    </w:p>
    <w:p w:rsidR="00BD0284" w:rsidRDefault="00BD0284" w:rsidP="00491B58">
      <w:pPr>
        <w:spacing w:after="0" w:line="360" w:lineRule="auto"/>
        <w:jc w:val="both"/>
        <w:rPr>
          <w:rFonts w:ascii="Times New Roman" w:hAnsi="Times New Roman" w:cs="Times New Roman"/>
          <w:bCs/>
          <w:sz w:val="24"/>
          <w:szCs w:val="24"/>
          <w:lang w:val="en-GB"/>
        </w:rPr>
      </w:pPr>
    </w:p>
    <w:p w:rsidR="00E138EB" w:rsidRPr="00491B58" w:rsidRDefault="00035A78" w:rsidP="00491B58">
      <w:pPr>
        <w:spacing w:after="0" w:line="360" w:lineRule="auto"/>
        <w:jc w:val="both"/>
        <w:rPr>
          <w:rFonts w:ascii="Times New Roman" w:hAnsi="Times New Roman" w:cs="Times New Roman"/>
          <w:b/>
          <w:bCs/>
          <w:sz w:val="24"/>
          <w:szCs w:val="24"/>
          <w:lang w:val="en-GB"/>
        </w:rPr>
      </w:pPr>
      <w:r w:rsidRPr="00491B58">
        <w:rPr>
          <w:rFonts w:ascii="Times New Roman" w:hAnsi="Times New Roman" w:cs="Times New Roman"/>
          <w:b/>
          <w:bCs/>
          <w:sz w:val="24"/>
          <w:szCs w:val="24"/>
          <w:lang w:val="en-GB"/>
        </w:rPr>
        <w:lastRenderedPageBreak/>
        <w:t>Figure 4:</w:t>
      </w:r>
    </w:p>
    <w:p w:rsidR="001B4F7C" w:rsidRPr="00491B58" w:rsidRDefault="00035A78" w:rsidP="00491B58">
      <w:pPr>
        <w:spacing w:after="0" w:line="360" w:lineRule="auto"/>
        <w:jc w:val="both"/>
        <w:rPr>
          <w:rFonts w:ascii="Times New Roman" w:hAnsi="Times New Roman" w:cs="Times New Roman"/>
          <w:bCs/>
          <w:sz w:val="24"/>
          <w:szCs w:val="24"/>
          <w:lang w:val="en-GB"/>
        </w:rPr>
      </w:pPr>
      <w:r w:rsidRPr="00491B58">
        <w:rPr>
          <w:rFonts w:ascii="Times New Roman" w:hAnsi="Times New Roman" w:cs="Times New Roman"/>
          <w:b/>
          <w:bCs/>
          <w:noProof/>
          <w:sz w:val="24"/>
          <w:szCs w:val="24"/>
          <w:lang w:val="en-US"/>
        </w:rPr>
        <w:drawing>
          <wp:inline distT="0" distB="0" distL="0" distR="0">
            <wp:extent cx="5731510" cy="2800350"/>
            <wp:effectExtent l="0" t="0" r="2540" b="0"/>
            <wp:docPr id="5" name="Picture 5" descr="C:\Users\ZEF~1.DED\AppData\Local\Temp\chart-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798287" name="Picture 5" descr="C:\Users\ZEF~1.DED\AppData\Local\Temp\chart-3.jpe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731510" cy="2800350"/>
                    </a:xfrm>
                    <a:prstGeom prst="rect">
                      <a:avLst/>
                    </a:prstGeom>
                    <a:noFill/>
                    <a:ln>
                      <a:noFill/>
                    </a:ln>
                  </pic:spPr>
                </pic:pic>
              </a:graphicData>
            </a:graphic>
          </wp:inline>
        </w:drawing>
      </w:r>
    </w:p>
    <w:p w:rsidR="001B4F7C" w:rsidRPr="00491B58" w:rsidRDefault="00035A78" w:rsidP="00B459D2">
      <w:pPr>
        <w:numPr>
          <w:ilvl w:val="0"/>
          <w:numId w:val="7"/>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01</w:t>
      </w:r>
      <w:r w:rsidRPr="00491B58">
        <w:rPr>
          <w:rFonts w:ascii="Times New Roman" w:eastAsia="Times New Roman" w:hAnsi="Times New Roman" w:cs="Times New Roman"/>
          <w:sz w:val="20"/>
          <w:szCs w:val="20"/>
          <w:lang w:val="en-GB"/>
        </w:rPr>
        <w:t xml:space="preserve"> - A Sanitary and phytosanitary measures</w:t>
      </w:r>
    </w:p>
    <w:p w:rsidR="001B4F7C" w:rsidRPr="00491B58" w:rsidRDefault="00035A78" w:rsidP="00B459D2">
      <w:pPr>
        <w:numPr>
          <w:ilvl w:val="0"/>
          <w:numId w:val="7"/>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02</w:t>
      </w:r>
      <w:r w:rsidRPr="00491B58">
        <w:rPr>
          <w:rFonts w:ascii="Times New Roman" w:eastAsia="Times New Roman" w:hAnsi="Times New Roman" w:cs="Times New Roman"/>
          <w:sz w:val="20"/>
          <w:szCs w:val="20"/>
          <w:lang w:val="en-GB"/>
        </w:rPr>
        <w:t xml:space="preserve"> - B Technical barriers to trade</w:t>
      </w:r>
    </w:p>
    <w:p w:rsidR="001B4F7C" w:rsidRPr="00491B58" w:rsidRDefault="00035A78" w:rsidP="00B459D2">
      <w:pPr>
        <w:numPr>
          <w:ilvl w:val="0"/>
          <w:numId w:val="7"/>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03</w:t>
      </w:r>
      <w:r w:rsidRPr="00491B58">
        <w:rPr>
          <w:rFonts w:ascii="Times New Roman" w:eastAsia="Times New Roman" w:hAnsi="Times New Roman" w:cs="Times New Roman"/>
          <w:sz w:val="20"/>
          <w:szCs w:val="20"/>
          <w:lang w:val="en-GB"/>
        </w:rPr>
        <w:t xml:space="preserve"> - C Pre-shipment inspection and other formalities</w:t>
      </w:r>
    </w:p>
    <w:p w:rsidR="001B4F7C" w:rsidRPr="00491B58" w:rsidRDefault="00035A78" w:rsidP="00B459D2">
      <w:pPr>
        <w:numPr>
          <w:ilvl w:val="0"/>
          <w:numId w:val="7"/>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04</w:t>
      </w:r>
      <w:r w:rsidRPr="00491B58">
        <w:rPr>
          <w:rFonts w:ascii="Times New Roman" w:eastAsia="Times New Roman" w:hAnsi="Times New Roman" w:cs="Times New Roman"/>
          <w:sz w:val="20"/>
          <w:szCs w:val="20"/>
          <w:lang w:val="en-GB"/>
        </w:rPr>
        <w:t xml:space="preserve"> - D Contingent trade protective measures</w:t>
      </w:r>
    </w:p>
    <w:p w:rsidR="001B4F7C" w:rsidRPr="00491B58" w:rsidRDefault="00035A78" w:rsidP="00B459D2">
      <w:pPr>
        <w:numPr>
          <w:ilvl w:val="0"/>
          <w:numId w:val="7"/>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05</w:t>
      </w:r>
      <w:r w:rsidRPr="00491B58">
        <w:rPr>
          <w:rFonts w:ascii="Times New Roman" w:eastAsia="Times New Roman" w:hAnsi="Times New Roman" w:cs="Times New Roman"/>
          <w:sz w:val="20"/>
          <w:szCs w:val="20"/>
          <w:lang w:val="en-GB"/>
        </w:rPr>
        <w:t xml:space="preserve"> - E Non-automatic licensing, quotas, prohibitions and quantity control measures other than for SPS or TBT reasons</w:t>
      </w:r>
    </w:p>
    <w:p w:rsidR="001B4F7C" w:rsidRPr="00491B58" w:rsidRDefault="00035A78" w:rsidP="00B459D2">
      <w:pPr>
        <w:numPr>
          <w:ilvl w:val="0"/>
          <w:numId w:val="7"/>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06</w:t>
      </w:r>
      <w:r w:rsidRPr="00491B58">
        <w:rPr>
          <w:rFonts w:ascii="Times New Roman" w:eastAsia="Times New Roman" w:hAnsi="Times New Roman" w:cs="Times New Roman"/>
          <w:sz w:val="20"/>
          <w:szCs w:val="20"/>
          <w:lang w:val="en-GB"/>
        </w:rPr>
        <w:t xml:space="preserve"> - F Price control measures including additional taxes and charges</w:t>
      </w:r>
    </w:p>
    <w:p w:rsidR="001B4F7C" w:rsidRPr="00491B58" w:rsidRDefault="00035A78" w:rsidP="00B459D2">
      <w:pPr>
        <w:numPr>
          <w:ilvl w:val="0"/>
          <w:numId w:val="7"/>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07</w:t>
      </w:r>
      <w:r w:rsidRPr="00491B58">
        <w:rPr>
          <w:rFonts w:ascii="Times New Roman" w:eastAsia="Times New Roman" w:hAnsi="Times New Roman" w:cs="Times New Roman"/>
          <w:sz w:val="20"/>
          <w:szCs w:val="20"/>
          <w:lang w:val="en-GB"/>
        </w:rPr>
        <w:t xml:space="preserve"> - G Finance measures</w:t>
      </w:r>
    </w:p>
    <w:p w:rsidR="001B4F7C" w:rsidRPr="00491B58" w:rsidRDefault="00035A78" w:rsidP="00B459D2">
      <w:pPr>
        <w:numPr>
          <w:ilvl w:val="0"/>
          <w:numId w:val="7"/>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08</w:t>
      </w:r>
      <w:r w:rsidRPr="00491B58">
        <w:rPr>
          <w:rFonts w:ascii="Times New Roman" w:eastAsia="Times New Roman" w:hAnsi="Times New Roman" w:cs="Times New Roman"/>
          <w:sz w:val="20"/>
          <w:szCs w:val="20"/>
          <w:lang w:val="en-GB"/>
        </w:rPr>
        <w:t xml:space="preserve"> - H Measures affecting competition</w:t>
      </w:r>
    </w:p>
    <w:p w:rsidR="001B4F7C" w:rsidRPr="00491B58" w:rsidRDefault="00035A78" w:rsidP="00B459D2">
      <w:pPr>
        <w:numPr>
          <w:ilvl w:val="0"/>
          <w:numId w:val="7"/>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09</w:t>
      </w:r>
      <w:r w:rsidRPr="00491B58">
        <w:rPr>
          <w:rFonts w:ascii="Times New Roman" w:eastAsia="Times New Roman" w:hAnsi="Times New Roman" w:cs="Times New Roman"/>
          <w:sz w:val="20"/>
          <w:szCs w:val="20"/>
          <w:lang w:val="en-GB"/>
        </w:rPr>
        <w:t xml:space="preserve"> - I Trade-related investment measures</w:t>
      </w:r>
    </w:p>
    <w:p w:rsidR="001B4F7C" w:rsidRPr="00491B58" w:rsidRDefault="00035A78" w:rsidP="00B459D2">
      <w:pPr>
        <w:numPr>
          <w:ilvl w:val="0"/>
          <w:numId w:val="7"/>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010</w:t>
      </w:r>
      <w:r w:rsidRPr="00491B58">
        <w:rPr>
          <w:rFonts w:ascii="Times New Roman" w:eastAsia="Times New Roman" w:hAnsi="Times New Roman" w:cs="Times New Roman"/>
          <w:sz w:val="20"/>
          <w:szCs w:val="20"/>
          <w:lang w:val="en-GB"/>
        </w:rPr>
        <w:t xml:space="preserve"> - J Distribution restrictions</w:t>
      </w:r>
    </w:p>
    <w:p w:rsidR="001B4F7C" w:rsidRPr="00491B58" w:rsidRDefault="00035A78" w:rsidP="00B459D2">
      <w:pPr>
        <w:numPr>
          <w:ilvl w:val="0"/>
          <w:numId w:val="7"/>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011</w:t>
      </w:r>
      <w:r w:rsidRPr="00491B58">
        <w:rPr>
          <w:rFonts w:ascii="Times New Roman" w:eastAsia="Times New Roman" w:hAnsi="Times New Roman" w:cs="Times New Roman"/>
          <w:sz w:val="20"/>
          <w:szCs w:val="20"/>
          <w:lang w:val="en-GB"/>
        </w:rPr>
        <w:t xml:space="preserve"> - K Restriction on post-sales services</w:t>
      </w:r>
    </w:p>
    <w:p w:rsidR="001B4F7C" w:rsidRPr="00491B58" w:rsidRDefault="00035A78" w:rsidP="00B459D2">
      <w:pPr>
        <w:numPr>
          <w:ilvl w:val="0"/>
          <w:numId w:val="7"/>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012</w:t>
      </w:r>
      <w:r w:rsidRPr="00491B58">
        <w:rPr>
          <w:rFonts w:ascii="Times New Roman" w:eastAsia="Times New Roman" w:hAnsi="Times New Roman" w:cs="Times New Roman"/>
          <w:sz w:val="20"/>
          <w:szCs w:val="20"/>
          <w:lang w:val="en-GB"/>
        </w:rPr>
        <w:t xml:space="preserve"> - L Subsidies (excluding export subsidies under P7)</w:t>
      </w:r>
    </w:p>
    <w:p w:rsidR="001B4F7C" w:rsidRPr="00491B58" w:rsidRDefault="00035A78" w:rsidP="00B459D2">
      <w:pPr>
        <w:numPr>
          <w:ilvl w:val="0"/>
          <w:numId w:val="7"/>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013</w:t>
      </w:r>
      <w:r w:rsidRPr="00491B58">
        <w:rPr>
          <w:rFonts w:ascii="Times New Roman" w:eastAsia="Times New Roman" w:hAnsi="Times New Roman" w:cs="Times New Roman"/>
          <w:sz w:val="20"/>
          <w:szCs w:val="20"/>
          <w:lang w:val="en-GB"/>
        </w:rPr>
        <w:t xml:space="preserve"> - M Government procurement restrictions</w:t>
      </w:r>
    </w:p>
    <w:p w:rsidR="001B4F7C" w:rsidRPr="00491B58" w:rsidRDefault="00035A78" w:rsidP="00B459D2">
      <w:pPr>
        <w:numPr>
          <w:ilvl w:val="0"/>
          <w:numId w:val="7"/>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014</w:t>
      </w:r>
      <w:r w:rsidRPr="00491B58">
        <w:rPr>
          <w:rFonts w:ascii="Times New Roman" w:eastAsia="Times New Roman" w:hAnsi="Times New Roman" w:cs="Times New Roman"/>
          <w:sz w:val="20"/>
          <w:szCs w:val="20"/>
          <w:lang w:val="en-GB"/>
        </w:rPr>
        <w:t xml:space="preserve"> - N Intellectual property</w:t>
      </w:r>
    </w:p>
    <w:p w:rsidR="001B4F7C" w:rsidRPr="00491B58" w:rsidRDefault="00035A78" w:rsidP="00B459D2">
      <w:pPr>
        <w:numPr>
          <w:ilvl w:val="0"/>
          <w:numId w:val="7"/>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015</w:t>
      </w:r>
      <w:r w:rsidRPr="00491B58">
        <w:rPr>
          <w:rFonts w:ascii="Times New Roman" w:eastAsia="Times New Roman" w:hAnsi="Times New Roman" w:cs="Times New Roman"/>
          <w:sz w:val="20"/>
          <w:szCs w:val="20"/>
          <w:lang w:val="en-GB"/>
        </w:rPr>
        <w:t xml:space="preserve"> - O Rules of origin</w:t>
      </w:r>
    </w:p>
    <w:p w:rsidR="001B4F7C" w:rsidRPr="00491B58" w:rsidRDefault="00035A78" w:rsidP="00B459D2">
      <w:pPr>
        <w:numPr>
          <w:ilvl w:val="0"/>
          <w:numId w:val="7"/>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016</w:t>
      </w:r>
      <w:r w:rsidRPr="00491B58">
        <w:rPr>
          <w:rFonts w:ascii="Times New Roman" w:eastAsia="Times New Roman" w:hAnsi="Times New Roman" w:cs="Times New Roman"/>
          <w:sz w:val="20"/>
          <w:szCs w:val="20"/>
          <w:lang w:val="en-GB"/>
        </w:rPr>
        <w:t xml:space="preserve"> - P Export related measures</w:t>
      </w:r>
    </w:p>
    <w:p w:rsidR="001B4F7C" w:rsidRPr="00491B58" w:rsidRDefault="00035A78" w:rsidP="00B459D2">
      <w:pPr>
        <w:numPr>
          <w:ilvl w:val="0"/>
          <w:numId w:val="7"/>
        </w:numPr>
        <w:pBdr>
          <w:between w:val="single" w:sz="4" w:space="1" w:color="auto"/>
          <w:bar w:val="single" w:sz="4" w:color="auto"/>
        </w:pBdr>
        <w:spacing w:after="0" w:line="240" w:lineRule="auto"/>
        <w:jc w:val="both"/>
        <w:rPr>
          <w:rFonts w:ascii="Times New Roman" w:eastAsia="Times New Roman" w:hAnsi="Times New Roman" w:cs="Times New Roman"/>
          <w:sz w:val="20"/>
          <w:szCs w:val="20"/>
          <w:lang w:val="en-GB"/>
        </w:rPr>
      </w:pPr>
      <w:r w:rsidRPr="00491B58">
        <w:rPr>
          <w:rFonts w:ascii="Times New Roman" w:eastAsia="Times New Roman" w:hAnsi="Times New Roman" w:cs="Times New Roman"/>
          <w:b/>
          <w:bCs/>
          <w:sz w:val="20"/>
          <w:szCs w:val="20"/>
          <w:lang w:val="en-GB"/>
        </w:rPr>
        <w:t>017</w:t>
      </w:r>
      <w:r w:rsidRPr="00491B58">
        <w:rPr>
          <w:rFonts w:ascii="Times New Roman" w:eastAsia="Times New Roman" w:hAnsi="Times New Roman" w:cs="Times New Roman"/>
          <w:sz w:val="20"/>
          <w:szCs w:val="20"/>
          <w:lang w:val="en-GB"/>
        </w:rPr>
        <w:t xml:space="preserve"> - N/A</w:t>
      </w:r>
    </w:p>
    <w:p w:rsidR="00B459D2" w:rsidRDefault="00B459D2" w:rsidP="00491B58">
      <w:pPr>
        <w:spacing w:after="0" w:line="360" w:lineRule="auto"/>
        <w:jc w:val="both"/>
        <w:rPr>
          <w:rFonts w:ascii="Times New Roman" w:hAnsi="Times New Roman" w:cs="Times New Roman"/>
          <w:bCs/>
          <w:sz w:val="24"/>
          <w:szCs w:val="24"/>
          <w:lang w:val="en-GB"/>
        </w:rPr>
      </w:pPr>
    </w:p>
    <w:p w:rsidR="00582E5C" w:rsidRPr="00491B58" w:rsidRDefault="00035A78" w:rsidP="00491B58">
      <w:pPr>
        <w:spacing w:after="0" w:line="360" w:lineRule="auto"/>
        <w:jc w:val="both"/>
        <w:rPr>
          <w:rFonts w:ascii="Times New Roman" w:hAnsi="Times New Roman" w:cs="Times New Roman"/>
          <w:bCs/>
          <w:sz w:val="24"/>
          <w:szCs w:val="24"/>
          <w:lang w:val="en-GB"/>
        </w:rPr>
      </w:pPr>
      <w:r w:rsidRPr="00491B58">
        <w:rPr>
          <w:rFonts w:ascii="Times New Roman" w:hAnsi="Times New Roman" w:cs="Times New Roman"/>
          <w:bCs/>
          <w:sz w:val="24"/>
          <w:szCs w:val="24"/>
          <w:lang w:val="en-GB"/>
        </w:rPr>
        <w:t>While the figure 5 shows the total distribution of cases registered in CEFTA MABD belonging to NTB measures are 10</w:t>
      </w:r>
      <w:r w:rsidR="005033FE" w:rsidRPr="00491B58">
        <w:rPr>
          <w:rFonts w:ascii="Times New Roman" w:hAnsi="Times New Roman" w:cs="Times New Roman"/>
          <w:bCs/>
          <w:sz w:val="24"/>
          <w:szCs w:val="24"/>
          <w:lang w:val="en-GB"/>
        </w:rPr>
        <w:t>8</w:t>
      </w:r>
      <w:r w:rsidR="00C51515">
        <w:rPr>
          <w:rFonts w:ascii="Times New Roman" w:hAnsi="Times New Roman" w:cs="Times New Roman"/>
          <w:bCs/>
          <w:sz w:val="24"/>
          <w:szCs w:val="24"/>
          <w:lang w:val="en-GB"/>
        </w:rPr>
        <w:t xml:space="preserve"> (84 solved), (11 pending</w:t>
      </w:r>
      <w:r w:rsidRPr="00491B58">
        <w:rPr>
          <w:rFonts w:ascii="Times New Roman" w:hAnsi="Times New Roman" w:cs="Times New Roman"/>
          <w:bCs/>
          <w:sz w:val="24"/>
          <w:szCs w:val="24"/>
          <w:lang w:val="en-GB"/>
        </w:rPr>
        <w:t>) and 13 new cases filed in 2016.</w:t>
      </w:r>
    </w:p>
    <w:p w:rsidR="006F1BED" w:rsidRPr="00491B58" w:rsidRDefault="006F1BED" w:rsidP="00491B58">
      <w:pPr>
        <w:spacing w:after="160" w:line="259" w:lineRule="auto"/>
        <w:jc w:val="both"/>
        <w:rPr>
          <w:rFonts w:ascii="Times New Roman" w:hAnsi="Times New Roman" w:cs="Times New Roman"/>
          <w:b/>
          <w:bCs/>
          <w:sz w:val="24"/>
          <w:szCs w:val="24"/>
          <w:lang w:val="en-GB"/>
        </w:rPr>
      </w:pPr>
      <w:r w:rsidRPr="00491B58">
        <w:rPr>
          <w:rFonts w:ascii="Times New Roman" w:hAnsi="Times New Roman" w:cs="Times New Roman"/>
          <w:b/>
          <w:bCs/>
          <w:sz w:val="24"/>
          <w:szCs w:val="24"/>
          <w:lang w:val="en-GB"/>
        </w:rPr>
        <w:br w:type="page"/>
      </w:r>
    </w:p>
    <w:p w:rsidR="001B4F7C" w:rsidRPr="00491B58" w:rsidRDefault="00035A78" w:rsidP="00491B58">
      <w:pPr>
        <w:spacing w:after="0" w:line="360" w:lineRule="auto"/>
        <w:jc w:val="both"/>
        <w:rPr>
          <w:rFonts w:ascii="Times New Roman" w:hAnsi="Times New Roman" w:cs="Times New Roman"/>
          <w:b/>
          <w:bCs/>
          <w:sz w:val="24"/>
          <w:szCs w:val="24"/>
          <w:lang w:val="en-GB"/>
        </w:rPr>
      </w:pPr>
      <w:r w:rsidRPr="00491B58">
        <w:rPr>
          <w:rFonts w:ascii="Times New Roman" w:hAnsi="Times New Roman" w:cs="Times New Roman"/>
          <w:b/>
          <w:bCs/>
          <w:sz w:val="24"/>
          <w:szCs w:val="24"/>
          <w:lang w:val="en-GB"/>
        </w:rPr>
        <w:lastRenderedPageBreak/>
        <w:t>Figure 5:</w:t>
      </w:r>
    </w:p>
    <w:p w:rsidR="00CB5B92" w:rsidRPr="00491B58" w:rsidRDefault="00035A78" w:rsidP="00491B58">
      <w:pPr>
        <w:jc w:val="both"/>
        <w:rPr>
          <w:rFonts w:ascii="Times New Roman" w:hAnsi="Times New Roman" w:cs="Times New Roman"/>
          <w:b/>
          <w:bCs/>
          <w:sz w:val="24"/>
          <w:szCs w:val="24"/>
          <w:lang w:val="en-GB"/>
        </w:rPr>
      </w:pPr>
      <w:r w:rsidRPr="00491B58">
        <w:rPr>
          <w:rFonts w:ascii="Times New Roman" w:hAnsi="Times New Roman" w:cs="Times New Roman"/>
          <w:b/>
          <w:bCs/>
          <w:noProof/>
          <w:sz w:val="24"/>
          <w:szCs w:val="24"/>
          <w:lang w:val="en-US"/>
        </w:rPr>
        <w:drawing>
          <wp:inline distT="0" distB="0" distL="0" distR="0">
            <wp:extent cx="5731306" cy="2914650"/>
            <wp:effectExtent l="0" t="0" r="3175" b="0"/>
            <wp:docPr id="4" name="Picture 4" descr="C:\Users\ZEF~1.DED\AppData\Local\Temp\chart-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740337" name="Picture 4" descr="C:\Users\ZEF~1.DED\AppData\Local\Temp\chart-2.jpe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735389" cy="2916727"/>
                    </a:xfrm>
                    <a:prstGeom prst="rect">
                      <a:avLst/>
                    </a:prstGeom>
                    <a:noFill/>
                    <a:ln>
                      <a:noFill/>
                    </a:ln>
                  </pic:spPr>
                </pic:pic>
              </a:graphicData>
            </a:graphic>
          </wp:inline>
        </w:drawing>
      </w:r>
    </w:p>
    <w:p w:rsidR="00A62C83" w:rsidRDefault="00035A78" w:rsidP="00B459D2">
      <w:pPr>
        <w:spacing w:after="0" w:line="360" w:lineRule="auto"/>
        <w:jc w:val="both"/>
        <w:rPr>
          <w:rFonts w:ascii="Times New Roman" w:hAnsi="Times New Roman" w:cs="Times New Roman"/>
          <w:bCs/>
          <w:sz w:val="24"/>
          <w:szCs w:val="24"/>
          <w:lang w:val="en-GB"/>
        </w:rPr>
      </w:pPr>
      <w:r w:rsidRPr="00B459D2">
        <w:rPr>
          <w:rFonts w:ascii="Times New Roman" w:hAnsi="Times New Roman" w:cs="Times New Roman"/>
          <w:bCs/>
          <w:sz w:val="24"/>
          <w:szCs w:val="24"/>
          <w:lang w:val="en-GB"/>
        </w:rPr>
        <w:t xml:space="preserve">As explained by </w:t>
      </w:r>
      <w:r w:rsidR="00F95541" w:rsidRPr="00B459D2">
        <w:rPr>
          <w:rFonts w:ascii="Times New Roman" w:hAnsi="Times New Roman" w:cs="Times New Roman"/>
          <w:bCs/>
          <w:sz w:val="24"/>
          <w:szCs w:val="24"/>
          <w:lang w:val="en-GB"/>
        </w:rPr>
        <w:t>f</w:t>
      </w:r>
      <w:r w:rsidRPr="00B459D2">
        <w:rPr>
          <w:rFonts w:ascii="Times New Roman" w:hAnsi="Times New Roman" w:cs="Times New Roman"/>
          <w:bCs/>
          <w:sz w:val="24"/>
          <w:szCs w:val="24"/>
          <w:lang w:val="en-GB"/>
        </w:rPr>
        <w:t xml:space="preserve">igure </w:t>
      </w:r>
      <w:r w:rsidR="005033FE" w:rsidRPr="00B459D2">
        <w:rPr>
          <w:rFonts w:ascii="Times New Roman" w:hAnsi="Times New Roman" w:cs="Times New Roman"/>
          <w:bCs/>
          <w:sz w:val="24"/>
          <w:szCs w:val="24"/>
          <w:lang w:val="en-GB"/>
        </w:rPr>
        <w:t>5</w:t>
      </w:r>
      <w:r w:rsidRPr="00491B58">
        <w:rPr>
          <w:rFonts w:ascii="Times New Roman" w:hAnsi="Times New Roman" w:cs="Times New Roman"/>
          <w:bCs/>
          <w:sz w:val="24"/>
          <w:szCs w:val="24"/>
          <w:lang w:val="en-GB"/>
        </w:rPr>
        <w:t xml:space="preserve"> </w:t>
      </w:r>
      <w:r w:rsidR="00F95541" w:rsidRPr="00491B58">
        <w:rPr>
          <w:rFonts w:ascii="Times New Roman" w:hAnsi="Times New Roman" w:cs="Times New Roman"/>
          <w:bCs/>
          <w:sz w:val="24"/>
          <w:szCs w:val="24"/>
          <w:lang w:val="en-GB"/>
        </w:rPr>
        <w:t xml:space="preserve">the </w:t>
      </w:r>
      <w:r w:rsidRPr="00491B58">
        <w:rPr>
          <w:rFonts w:ascii="Times New Roman" w:hAnsi="Times New Roman" w:cs="Times New Roman"/>
          <w:bCs/>
          <w:sz w:val="24"/>
          <w:szCs w:val="24"/>
          <w:lang w:val="en-GB"/>
        </w:rPr>
        <w:t>cases by the status that have been solved are 77.77%, 10.19%</w:t>
      </w:r>
      <w:r w:rsidR="00F95541" w:rsidRPr="00491B58">
        <w:rPr>
          <w:rFonts w:ascii="Times New Roman" w:hAnsi="Times New Roman" w:cs="Times New Roman"/>
          <w:bCs/>
          <w:sz w:val="24"/>
          <w:szCs w:val="24"/>
          <w:lang w:val="en-GB"/>
        </w:rPr>
        <w:t xml:space="preserve"> of them</w:t>
      </w:r>
      <w:r w:rsidRPr="00491B58">
        <w:rPr>
          <w:rFonts w:ascii="Times New Roman" w:hAnsi="Times New Roman" w:cs="Times New Roman"/>
          <w:bCs/>
          <w:sz w:val="24"/>
          <w:szCs w:val="24"/>
          <w:lang w:val="en-GB"/>
        </w:rPr>
        <w:t xml:space="preserve"> are </w:t>
      </w:r>
      <w:r w:rsidR="00F95541" w:rsidRPr="00491B58">
        <w:rPr>
          <w:rFonts w:ascii="Times New Roman" w:hAnsi="Times New Roman" w:cs="Times New Roman"/>
          <w:bCs/>
          <w:sz w:val="24"/>
          <w:szCs w:val="24"/>
          <w:lang w:val="en-GB"/>
        </w:rPr>
        <w:t xml:space="preserve">still </w:t>
      </w:r>
      <w:r w:rsidRPr="00491B58">
        <w:rPr>
          <w:rFonts w:ascii="Times New Roman" w:hAnsi="Times New Roman" w:cs="Times New Roman"/>
          <w:bCs/>
          <w:sz w:val="24"/>
          <w:szCs w:val="24"/>
          <w:lang w:val="en-GB"/>
        </w:rPr>
        <w:t>pending, and 12.04 % are</w:t>
      </w:r>
      <w:r w:rsidR="00C51515">
        <w:rPr>
          <w:rFonts w:ascii="Times New Roman" w:hAnsi="Times New Roman" w:cs="Times New Roman"/>
          <w:bCs/>
          <w:sz w:val="24"/>
          <w:szCs w:val="24"/>
          <w:lang w:val="en-GB"/>
        </w:rPr>
        <w:t xml:space="preserve"> </w:t>
      </w:r>
      <w:r w:rsidRPr="00491B58">
        <w:rPr>
          <w:rFonts w:ascii="Times New Roman" w:hAnsi="Times New Roman" w:cs="Times New Roman"/>
          <w:bCs/>
          <w:sz w:val="24"/>
          <w:szCs w:val="24"/>
          <w:lang w:val="en-GB"/>
        </w:rPr>
        <w:t>new</w:t>
      </w:r>
      <w:r w:rsidR="00F95541" w:rsidRPr="00491B58">
        <w:rPr>
          <w:rFonts w:ascii="Times New Roman" w:hAnsi="Times New Roman" w:cs="Times New Roman"/>
          <w:bCs/>
          <w:sz w:val="24"/>
          <w:szCs w:val="24"/>
          <w:lang w:val="en-GB"/>
        </w:rPr>
        <w:t xml:space="preserve"> cases</w:t>
      </w:r>
      <w:r w:rsidRPr="00491B58">
        <w:rPr>
          <w:rFonts w:ascii="Times New Roman" w:hAnsi="Times New Roman" w:cs="Times New Roman"/>
          <w:bCs/>
          <w:sz w:val="24"/>
          <w:szCs w:val="24"/>
          <w:lang w:val="en-GB"/>
        </w:rPr>
        <w:t>.</w:t>
      </w:r>
    </w:p>
    <w:p w:rsidR="00B459D2" w:rsidRPr="00491B58" w:rsidRDefault="00B459D2" w:rsidP="00B459D2">
      <w:pPr>
        <w:spacing w:after="0" w:line="360" w:lineRule="auto"/>
        <w:jc w:val="both"/>
        <w:rPr>
          <w:rFonts w:ascii="Times New Roman" w:hAnsi="Times New Roman" w:cs="Times New Roman"/>
          <w:bCs/>
          <w:sz w:val="24"/>
          <w:szCs w:val="24"/>
          <w:lang w:val="en-GB"/>
        </w:rPr>
      </w:pPr>
    </w:p>
    <w:p w:rsidR="009D2290" w:rsidRDefault="00035A78" w:rsidP="00035A78">
      <w:pPr>
        <w:pStyle w:val="ListParagraph"/>
        <w:numPr>
          <w:ilvl w:val="0"/>
          <w:numId w:val="10"/>
        </w:numPr>
        <w:spacing w:after="0" w:line="240" w:lineRule="auto"/>
        <w:jc w:val="both"/>
        <w:rPr>
          <w:rFonts w:ascii="Times New Roman" w:hAnsi="Times New Roman" w:cs="Times New Roman"/>
          <w:b/>
          <w:sz w:val="26"/>
          <w:szCs w:val="24"/>
          <w:lang w:val="en-GB"/>
        </w:rPr>
      </w:pPr>
      <w:r w:rsidRPr="009176BF">
        <w:rPr>
          <w:rFonts w:ascii="Times New Roman" w:hAnsi="Times New Roman" w:cs="Times New Roman"/>
          <w:b/>
          <w:sz w:val="26"/>
          <w:szCs w:val="24"/>
          <w:lang w:val="en-GB"/>
        </w:rPr>
        <w:t>Reporting cases</w:t>
      </w:r>
    </w:p>
    <w:p w:rsidR="00B459D2" w:rsidRPr="009176BF" w:rsidRDefault="00B459D2" w:rsidP="00B459D2">
      <w:pPr>
        <w:pStyle w:val="ListParagraph"/>
        <w:spacing w:after="0" w:line="240" w:lineRule="auto"/>
        <w:ind w:left="0"/>
        <w:jc w:val="both"/>
        <w:rPr>
          <w:rFonts w:ascii="Times New Roman" w:hAnsi="Times New Roman" w:cs="Times New Roman"/>
          <w:b/>
          <w:sz w:val="26"/>
          <w:szCs w:val="24"/>
          <w:lang w:val="en-GB"/>
        </w:rPr>
      </w:pPr>
    </w:p>
    <w:p w:rsidR="00B459D2" w:rsidRDefault="00035A78" w:rsidP="00B459D2">
      <w:pPr>
        <w:spacing w:after="0" w:line="360" w:lineRule="auto"/>
        <w:jc w:val="both"/>
        <w:rPr>
          <w:rFonts w:ascii="Times New Roman" w:hAnsi="Times New Roman" w:cs="Times New Roman"/>
          <w:sz w:val="24"/>
          <w:szCs w:val="24"/>
          <w:lang w:val="en-GB"/>
        </w:rPr>
      </w:pPr>
      <w:r w:rsidRPr="00491B58">
        <w:rPr>
          <w:rFonts w:ascii="Times New Roman" w:hAnsi="Times New Roman" w:cs="Times New Roman"/>
          <w:sz w:val="24"/>
          <w:szCs w:val="24"/>
          <w:lang w:val="en-GB"/>
        </w:rPr>
        <w:t>It is worth noting that m</w:t>
      </w:r>
      <w:r w:rsidR="00B45DCB" w:rsidRPr="00491B58">
        <w:rPr>
          <w:rFonts w:ascii="Times New Roman" w:hAnsi="Times New Roman" w:cs="Times New Roman"/>
          <w:sz w:val="24"/>
          <w:szCs w:val="24"/>
          <w:lang w:val="en-GB"/>
        </w:rPr>
        <w:t xml:space="preserve">ost of the restrictive measures imposed by all CEFTA countries against Kosovo are inserted into the Market Access Barriers Data-Base, and if we have a look into this Data Base in particular before 2016 related to the notification of cases, it can be seen that Kosovo has mostly submitted notifications as a reporting country and is still waiting for the submitted issues to be adequately addressed correctly, especially when it comes to cases with Bosnia and Hercegovina and Serbia, whether they are related to SPS, TBT or transit issues. </w:t>
      </w:r>
      <w:r w:rsidR="004E2957" w:rsidRPr="00491B58">
        <w:rPr>
          <w:rFonts w:ascii="Times New Roman" w:hAnsi="Times New Roman" w:cs="Times New Roman"/>
          <w:sz w:val="24"/>
          <w:szCs w:val="24"/>
          <w:lang w:val="en-GB"/>
        </w:rPr>
        <w:t>It is</w:t>
      </w:r>
      <w:r w:rsidR="00B45DCB" w:rsidRPr="00491B58">
        <w:rPr>
          <w:rFonts w:ascii="Times New Roman" w:hAnsi="Times New Roman" w:cs="Times New Roman"/>
          <w:sz w:val="24"/>
          <w:szCs w:val="24"/>
          <w:lang w:val="en-GB"/>
        </w:rPr>
        <w:t xml:space="preserve"> worth </w:t>
      </w:r>
      <w:r w:rsidR="004E2957" w:rsidRPr="00491B58">
        <w:rPr>
          <w:rFonts w:ascii="Times New Roman" w:hAnsi="Times New Roman" w:cs="Times New Roman"/>
          <w:sz w:val="24"/>
          <w:szCs w:val="24"/>
          <w:lang w:val="en-GB"/>
        </w:rPr>
        <w:t>noting</w:t>
      </w:r>
      <w:r w:rsidR="00B45DCB" w:rsidRPr="00491B58">
        <w:rPr>
          <w:rFonts w:ascii="Times New Roman" w:hAnsi="Times New Roman" w:cs="Times New Roman"/>
          <w:sz w:val="24"/>
          <w:szCs w:val="24"/>
          <w:lang w:val="en-GB"/>
        </w:rPr>
        <w:t xml:space="preserve"> that the MABD seems n</w:t>
      </w:r>
      <w:r w:rsidR="004E2957" w:rsidRPr="00491B58">
        <w:rPr>
          <w:rFonts w:ascii="Times New Roman" w:hAnsi="Times New Roman" w:cs="Times New Roman"/>
          <w:sz w:val="24"/>
          <w:szCs w:val="24"/>
          <w:lang w:val="en-GB"/>
        </w:rPr>
        <w:t>o</w:t>
      </w:r>
      <w:r w:rsidR="00B45DCB" w:rsidRPr="00491B58">
        <w:rPr>
          <w:rFonts w:ascii="Times New Roman" w:hAnsi="Times New Roman" w:cs="Times New Roman"/>
          <w:sz w:val="24"/>
          <w:szCs w:val="24"/>
          <w:lang w:val="en-GB"/>
        </w:rPr>
        <w:t xml:space="preserve">t to have been </w:t>
      </w:r>
      <w:r w:rsidR="00AE10DB" w:rsidRPr="00491B58">
        <w:rPr>
          <w:rFonts w:ascii="Times New Roman" w:hAnsi="Times New Roman" w:cs="Times New Roman"/>
          <w:sz w:val="24"/>
          <w:szCs w:val="24"/>
          <w:lang w:val="en-GB"/>
        </w:rPr>
        <w:t>regularly</w:t>
      </w:r>
      <w:r w:rsidR="00B45DCB" w:rsidRPr="00491B58">
        <w:rPr>
          <w:rFonts w:ascii="Times New Roman" w:hAnsi="Times New Roman" w:cs="Times New Roman"/>
          <w:sz w:val="24"/>
          <w:szCs w:val="24"/>
          <w:lang w:val="en-GB"/>
        </w:rPr>
        <w:t xml:space="preserve"> </w:t>
      </w:r>
      <w:r w:rsidR="00AE10DB" w:rsidRPr="00491B58">
        <w:rPr>
          <w:rFonts w:ascii="Times New Roman" w:hAnsi="Times New Roman" w:cs="Times New Roman"/>
          <w:sz w:val="24"/>
          <w:szCs w:val="24"/>
          <w:lang w:val="en-GB"/>
        </w:rPr>
        <w:t>updated</w:t>
      </w:r>
      <w:r w:rsidR="00B45DCB" w:rsidRPr="00491B58">
        <w:rPr>
          <w:rFonts w:ascii="Times New Roman" w:hAnsi="Times New Roman" w:cs="Times New Roman"/>
          <w:sz w:val="24"/>
          <w:szCs w:val="24"/>
          <w:lang w:val="en-GB"/>
        </w:rPr>
        <w:t xml:space="preserve"> by all members </w:t>
      </w:r>
      <w:r w:rsidR="00AE10DB" w:rsidRPr="00491B58">
        <w:rPr>
          <w:rFonts w:ascii="Times New Roman" w:hAnsi="Times New Roman" w:cs="Times New Roman"/>
          <w:sz w:val="24"/>
          <w:szCs w:val="24"/>
          <w:lang w:val="en-GB"/>
        </w:rPr>
        <w:t>since</w:t>
      </w:r>
      <w:r w:rsidR="00B45DCB" w:rsidRPr="00491B58">
        <w:rPr>
          <w:rFonts w:ascii="Times New Roman" w:hAnsi="Times New Roman" w:cs="Times New Roman"/>
          <w:sz w:val="24"/>
          <w:szCs w:val="24"/>
          <w:lang w:val="en-GB"/>
        </w:rPr>
        <w:t xml:space="preserve"> 2016</w:t>
      </w:r>
      <w:r w:rsidR="003F670E">
        <w:rPr>
          <w:rFonts w:ascii="Times New Roman" w:hAnsi="Times New Roman" w:cs="Times New Roman"/>
          <w:sz w:val="24"/>
          <w:szCs w:val="24"/>
          <w:lang w:val="en-GB"/>
        </w:rPr>
        <w:t xml:space="preserve"> due to technical problems in its operation which have already been overtaken by the beginning of 2019</w:t>
      </w:r>
      <w:r w:rsidR="00B45DCB" w:rsidRPr="00491B58">
        <w:rPr>
          <w:rFonts w:ascii="Times New Roman" w:hAnsi="Times New Roman" w:cs="Times New Roman"/>
          <w:sz w:val="24"/>
          <w:szCs w:val="24"/>
          <w:lang w:val="en-GB"/>
        </w:rPr>
        <w:t>.</w:t>
      </w:r>
    </w:p>
    <w:p w:rsidR="00B459D2" w:rsidRPr="00491B58" w:rsidRDefault="00B459D2" w:rsidP="00B459D2">
      <w:pPr>
        <w:spacing w:after="0" w:line="360" w:lineRule="auto"/>
        <w:jc w:val="both"/>
        <w:rPr>
          <w:rFonts w:ascii="Times New Roman" w:hAnsi="Times New Roman" w:cs="Times New Roman"/>
          <w:sz w:val="24"/>
          <w:szCs w:val="24"/>
          <w:lang w:val="en-GB"/>
        </w:rPr>
      </w:pPr>
    </w:p>
    <w:p w:rsidR="00915D2A" w:rsidRDefault="00035A78" w:rsidP="00035A78">
      <w:pPr>
        <w:pStyle w:val="ListParagraph"/>
        <w:numPr>
          <w:ilvl w:val="0"/>
          <w:numId w:val="10"/>
        </w:numPr>
        <w:spacing w:after="0" w:line="240" w:lineRule="auto"/>
        <w:jc w:val="both"/>
        <w:rPr>
          <w:rFonts w:ascii="Times New Roman" w:hAnsi="Times New Roman" w:cs="Times New Roman"/>
          <w:b/>
          <w:bCs/>
          <w:sz w:val="26"/>
          <w:szCs w:val="24"/>
          <w:lang w:val="en-GB"/>
        </w:rPr>
      </w:pPr>
      <w:r w:rsidRPr="009176BF">
        <w:rPr>
          <w:rFonts w:ascii="Times New Roman" w:hAnsi="Times New Roman" w:cs="Times New Roman"/>
          <w:b/>
          <w:bCs/>
          <w:sz w:val="26"/>
          <w:szCs w:val="24"/>
          <w:lang w:val="en-GB"/>
        </w:rPr>
        <w:t>Applicability of CEFTA tools to eliminate structural NTBs</w:t>
      </w:r>
    </w:p>
    <w:p w:rsidR="00B459D2" w:rsidRPr="009176BF" w:rsidRDefault="00B459D2" w:rsidP="00B459D2">
      <w:pPr>
        <w:pStyle w:val="ListParagraph"/>
        <w:spacing w:after="0" w:line="240" w:lineRule="auto"/>
        <w:ind w:left="0"/>
        <w:jc w:val="both"/>
        <w:rPr>
          <w:rFonts w:ascii="Times New Roman" w:hAnsi="Times New Roman" w:cs="Times New Roman"/>
          <w:b/>
          <w:bCs/>
          <w:sz w:val="26"/>
          <w:szCs w:val="24"/>
          <w:lang w:val="en-GB"/>
        </w:rPr>
      </w:pPr>
    </w:p>
    <w:p w:rsidR="00915D2A" w:rsidRDefault="00035A78" w:rsidP="00B459D2">
      <w:pPr>
        <w:spacing w:after="0" w:line="360" w:lineRule="auto"/>
        <w:jc w:val="both"/>
        <w:rPr>
          <w:rFonts w:ascii="Times New Roman" w:hAnsi="Times New Roman" w:cs="Times New Roman"/>
          <w:sz w:val="24"/>
          <w:szCs w:val="24"/>
          <w:lang w:val="en-GB"/>
        </w:rPr>
      </w:pPr>
      <w:r w:rsidRPr="00491B58">
        <w:rPr>
          <w:rFonts w:ascii="Times New Roman" w:hAnsi="Times New Roman" w:cs="Times New Roman"/>
          <w:bCs/>
          <w:sz w:val="24"/>
          <w:szCs w:val="24"/>
          <w:lang w:val="en-GB"/>
        </w:rPr>
        <w:t>There are some signs that at least the number of barriers could be reduced if not eliminated at all. For instance, A</w:t>
      </w:r>
      <w:r w:rsidRPr="00491B58">
        <w:rPr>
          <w:rFonts w:ascii="Times New Roman" w:hAnsi="Times New Roman" w:cs="Times New Roman"/>
          <w:sz w:val="24"/>
          <w:szCs w:val="24"/>
          <w:lang w:val="en-GB"/>
        </w:rPr>
        <w:t xml:space="preserve">P 5 aims to create two regional mutual recognition to respond to NTBs stemming from non-recognition of certification. Likewise, AP 5 aims to improve risk management systems via an extensive electronic exchange of data – Policymakers in revenue collection should be aware of that revenue collection may increase by efficient use of risk </w:t>
      </w:r>
      <w:r w:rsidRPr="00491B58">
        <w:rPr>
          <w:rFonts w:ascii="Times New Roman" w:hAnsi="Times New Roman" w:cs="Times New Roman"/>
          <w:sz w:val="24"/>
          <w:szCs w:val="24"/>
          <w:lang w:val="en-GB"/>
        </w:rPr>
        <w:lastRenderedPageBreak/>
        <w:t>systems as well as it aims to enhance transparency and offer stronger discipline in documentary requirements and fees/charges linked to documentary requirements. However, AP5 it is not yet fully being implemented as well as Kosovo has not yet ratified it. In addition to this, further steps are necessity: For instance, CEFTA Transparency Market needs to be upgraded and updated for transparency, and future CEFTA AP 7 is needed to in order to eliminate any further remaining NTBs.</w:t>
      </w:r>
    </w:p>
    <w:p w:rsidR="00B459D2" w:rsidRPr="00491B58" w:rsidRDefault="00B459D2" w:rsidP="00B459D2">
      <w:pPr>
        <w:spacing w:after="0" w:line="360" w:lineRule="auto"/>
        <w:jc w:val="both"/>
        <w:rPr>
          <w:rFonts w:ascii="Times New Roman" w:hAnsi="Times New Roman" w:cs="Times New Roman"/>
          <w:sz w:val="24"/>
          <w:szCs w:val="24"/>
          <w:lang w:val="en-GB"/>
        </w:rPr>
      </w:pPr>
    </w:p>
    <w:p w:rsidR="00B459D2" w:rsidRPr="006A0A85" w:rsidRDefault="00035A78" w:rsidP="00035A78">
      <w:pPr>
        <w:pStyle w:val="ListParagraph"/>
        <w:numPr>
          <w:ilvl w:val="0"/>
          <w:numId w:val="10"/>
        </w:numPr>
        <w:spacing w:after="0" w:line="240" w:lineRule="auto"/>
        <w:jc w:val="both"/>
        <w:rPr>
          <w:rFonts w:ascii="Times New Roman" w:hAnsi="Times New Roman" w:cs="Times New Roman"/>
          <w:b/>
          <w:bCs/>
          <w:sz w:val="24"/>
          <w:szCs w:val="24"/>
          <w:lang w:val="en-GB"/>
        </w:rPr>
      </w:pPr>
      <w:r w:rsidRPr="006A0A85">
        <w:rPr>
          <w:rFonts w:ascii="Times New Roman" w:hAnsi="Times New Roman" w:cs="Times New Roman"/>
          <w:b/>
          <w:bCs/>
          <w:sz w:val="24"/>
          <w:szCs w:val="24"/>
          <w:lang w:val="en-GB"/>
        </w:rPr>
        <w:t>Concluding remarks</w:t>
      </w:r>
    </w:p>
    <w:p w:rsidR="00035A78" w:rsidRPr="006A0A85" w:rsidRDefault="00035A78" w:rsidP="00035A78">
      <w:pPr>
        <w:pStyle w:val="ListParagraph"/>
        <w:spacing w:after="0" w:line="240" w:lineRule="auto"/>
        <w:jc w:val="both"/>
        <w:rPr>
          <w:rFonts w:ascii="Times New Roman" w:hAnsi="Times New Roman" w:cs="Times New Roman"/>
          <w:b/>
          <w:bCs/>
          <w:sz w:val="24"/>
          <w:szCs w:val="24"/>
          <w:lang w:val="en-GB"/>
        </w:rPr>
      </w:pPr>
    </w:p>
    <w:p w:rsidR="00035A78" w:rsidRPr="006A0A85" w:rsidRDefault="00035A78" w:rsidP="002D68BE">
      <w:pPr>
        <w:pStyle w:val="ListParagraph"/>
        <w:numPr>
          <w:ilvl w:val="0"/>
          <w:numId w:val="13"/>
        </w:numPr>
        <w:pBdr>
          <w:between w:val="single" w:sz="4" w:space="1" w:color="auto"/>
        </w:pBdr>
        <w:spacing w:after="0" w:line="360" w:lineRule="auto"/>
        <w:jc w:val="both"/>
        <w:rPr>
          <w:rFonts w:ascii="Times New Roman" w:hAnsi="Times New Roman" w:cs="Times New Roman"/>
          <w:sz w:val="24"/>
          <w:szCs w:val="24"/>
          <w:lang w:val="en-GB"/>
        </w:rPr>
      </w:pPr>
      <w:r w:rsidRPr="006A0A85">
        <w:rPr>
          <w:rFonts w:ascii="Times New Roman" w:hAnsi="Times New Roman" w:cs="Times New Roman"/>
          <w:sz w:val="24"/>
          <w:szCs w:val="24"/>
          <w:lang w:val="en-GB"/>
        </w:rPr>
        <w:t>As long as budgetary issues / bad ratio of direct and indirect taxation remain, NTBs may remain due to certification and compliance related issues.</w:t>
      </w:r>
    </w:p>
    <w:p w:rsidR="00035A78" w:rsidRPr="006A0A85" w:rsidRDefault="00035A78" w:rsidP="002D68BE">
      <w:pPr>
        <w:pStyle w:val="ListParagraph"/>
        <w:numPr>
          <w:ilvl w:val="0"/>
          <w:numId w:val="13"/>
        </w:numPr>
        <w:pBdr>
          <w:between w:val="single" w:sz="4" w:space="1" w:color="auto"/>
        </w:pBdr>
        <w:spacing w:after="0" w:line="360" w:lineRule="auto"/>
        <w:jc w:val="both"/>
        <w:rPr>
          <w:rFonts w:ascii="Times New Roman" w:hAnsi="Times New Roman" w:cs="Times New Roman"/>
          <w:sz w:val="24"/>
          <w:szCs w:val="24"/>
          <w:lang w:val="en-GB"/>
        </w:rPr>
      </w:pPr>
      <w:r w:rsidRPr="006A0A85">
        <w:rPr>
          <w:rFonts w:ascii="Times New Roman" w:hAnsi="Times New Roman" w:cs="Times New Roman"/>
          <w:sz w:val="24"/>
          <w:szCs w:val="24"/>
          <w:lang w:val="en-GB"/>
        </w:rPr>
        <w:t>Approximation to EU laws and international standards may contribute but not solve the NTBs unless mutual recognition programmes exist.</w:t>
      </w:r>
    </w:p>
    <w:p w:rsidR="00035A78" w:rsidRPr="006A0A85" w:rsidRDefault="00035A78" w:rsidP="002D68BE">
      <w:pPr>
        <w:pStyle w:val="ListParagraph"/>
        <w:numPr>
          <w:ilvl w:val="0"/>
          <w:numId w:val="13"/>
        </w:numPr>
        <w:pBdr>
          <w:between w:val="single" w:sz="4" w:space="1" w:color="auto"/>
        </w:pBdr>
        <w:spacing w:after="0" w:line="360" w:lineRule="auto"/>
        <w:jc w:val="both"/>
        <w:rPr>
          <w:rFonts w:ascii="Times New Roman" w:hAnsi="Times New Roman" w:cs="Times New Roman"/>
          <w:sz w:val="24"/>
          <w:szCs w:val="24"/>
          <w:lang w:val="en-GB"/>
        </w:rPr>
      </w:pPr>
      <w:r w:rsidRPr="006A0A85">
        <w:rPr>
          <w:rFonts w:ascii="Times New Roman" w:hAnsi="Times New Roman" w:cs="Times New Roman"/>
          <w:sz w:val="24"/>
          <w:szCs w:val="24"/>
          <w:lang w:val="en-GB"/>
        </w:rPr>
        <w:t>CEFTA legal instruments are almost sufficient but need further improvement especially of t</w:t>
      </w:r>
      <w:r w:rsidR="003E182C" w:rsidRPr="006A0A85">
        <w:rPr>
          <w:rFonts w:ascii="Times New Roman" w:hAnsi="Times New Roman" w:cs="Times New Roman"/>
          <w:sz w:val="24"/>
          <w:szCs w:val="24"/>
          <w:lang w:val="en-GB"/>
        </w:rPr>
        <w:t xml:space="preserve">he dispute settlement mechanism which is crucial in order to </w:t>
      </w:r>
      <w:r w:rsidR="00E91D23" w:rsidRPr="006A0A85">
        <w:rPr>
          <w:rFonts w:ascii="Times New Roman" w:hAnsi="Times New Roman" w:cs="Times New Roman"/>
          <w:sz w:val="24"/>
          <w:szCs w:val="24"/>
          <w:lang w:val="en-GB"/>
        </w:rPr>
        <w:t>solve</w:t>
      </w:r>
      <w:r w:rsidR="003E182C" w:rsidRPr="006A0A85">
        <w:rPr>
          <w:rFonts w:ascii="Times New Roman" w:hAnsi="Times New Roman" w:cs="Times New Roman"/>
          <w:sz w:val="24"/>
          <w:szCs w:val="24"/>
          <w:lang w:val="en-GB"/>
        </w:rPr>
        <w:t xml:space="preserve"> unjustified trade barriers.</w:t>
      </w:r>
    </w:p>
    <w:p w:rsidR="00035A78" w:rsidRPr="006A0A85" w:rsidRDefault="00035A78" w:rsidP="002D68BE">
      <w:pPr>
        <w:pStyle w:val="ListParagraph"/>
        <w:numPr>
          <w:ilvl w:val="0"/>
          <w:numId w:val="13"/>
        </w:numPr>
        <w:pBdr>
          <w:between w:val="single" w:sz="4" w:space="1" w:color="auto"/>
        </w:pBdr>
        <w:spacing w:after="0" w:line="360" w:lineRule="auto"/>
        <w:jc w:val="both"/>
        <w:rPr>
          <w:rFonts w:ascii="Times New Roman" w:hAnsi="Times New Roman" w:cs="Times New Roman"/>
          <w:sz w:val="24"/>
          <w:szCs w:val="24"/>
          <w:lang w:val="en-GB"/>
        </w:rPr>
      </w:pPr>
      <w:r w:rsidRPr="006A0A85">
        <w:rPr>
          <w:rFonts w:ascii="Times New Roman" w:hAnsi="Times New Roman" w:cs="Times New Roman"/>
          <w:sz w:val="24"/>
          <w:szCs w:val="24"/>
          <w:lang w:val="en-GB"/>
        </w:rPr>
        <w:t>Economic competitiveness and access to markets should be taken into account as main policy objectives in the elimination of NTBs</w:t>
      </w:r>
      <w:r w:rsidR="00EA6D70" w:rsidRPr="006A0A85">
        <w:rPr>
          <w:rFonts w:ascii="Times New Roman" w:hAnsi="Times New Roman" w:cs="Times New Roman"/>
          <w:sz w:val="24"/>
          <w:szCs w:val="24"/>
          <w:lang w:val="en-GB"/>
        </w:rPr>
        <w:t>.</w:t>
      </w:r>
    </w:p>
    <w:p w:rsidR="002D68BE" w:rsidRPr="006A0A85" w:rsidRDefault="00035A78" w:rsidP="002D68BE">
      <w:pPr>
        <w:pStyle w:val="ListParagraph"/>
        <w:numPr>
          <w:ilvl w:val="0"/>
          <w:numId w:val="13"/>
        </w:numPr>
        <w:pBdr>
          <w:between w:val="single" w:sz="4" w:space="1" w:color="auto"/>
        </w:pBdr>
        <w:spacing w:after="0" w:line="360" w:lineRule="auto"/>
        <w:jc w:val="both"/>
        <w:rPr>
          <w:rFonts w:ascii="Times New Roman" w:hAnsi="Times New Roman" w:cs="Times New Roman"/>
          <w:sz w:val="24"/>
          <w:szCs w:val="24"/>
          <w:lang w:val="en-GB"/>
        </w:rPr>
      </w:pPr>
      <w:r w:rsidRPr="006A0A85">
        <w:rPr>
          <w:rFonts w:ascii="Times New Roman" w:hAnsi="Times New Roman" w:cs="Times New Roman"/>
          <w:sz w:val="24"/>
          <w:szCs w:val="24"/>
          <w:lang w:val="en-GB"/>
        </w:rPr>
        <w:t>Creating MRA among CEFTA countries based on MAP REA</w:t>
      </w:r>
    </w:p>
    <w:p w:rsidR="002375A7" w:rsidRPr="006A0A85" w:rsidRDefault="002375A7" w:rsidP="002D68BE">
      <w:pPr>
        <w:pStyle w:val="ListParagraph"/>
        <w:numPr>
          <w:ilvl w:val="0"/>
          <w:numId w:val="13"/>
        </w:numPr>
        <w:pBdr>
          <w:between w:val="single" w:sz="4" w:space="1" w:color="auto"/>
        </w:pBdr>
        <w:spacing w:after="0" w:line="360" w:lineRule="auto"/>
        <w:jc w:val="both"/>
        <w:rPr>
          <w:rFonts w:ascii="Times New Roman" w:hAnsi="Times New Roman" w:cs="Times New Roman"/>
          <w:sz w:val="24"/>
          <w:szCs w:val="24"/>
          <w:lang w:val="en-GB"/>
        </w:rPr>
      </w:pPr>
      <w:r w:rsidRPr="006A0A85">
        <w:rPr>
          <w:rFonts w:ascii="Times New Roman" w:hAnsi="Times New Roman" w:cs="Times New Roman"/>
          <w:sz w:val="24"/>
          <w:szCs w:val="24"/>
          <w:lang w:val="en-GB"/>
        </w:rPr>
        <w:t xml:space="preserve">As it is set out in the trade component in MAP/REA, CEFTA Secretariat to </w:t>
      </w:r>
      <w:r w:rsidR="006A0A85" w:rsidRPr="006A0A85">
        <w:rPr>
          <w:rFonts w:ascii="Times New Roman" w:hAnsi="Times New Roman" w:cs="Times New Roman"/>
          <w:sz w:val="24"/>
          <w:szCs w:val="24"/>
          <w:lang w:val="en-GB"/>
        </w:rPr>
        <w:t>prepare</w:t>
      </w:r>
      <w:r w:rsidRPr="006A0A85">
        <w:rPr>
          <w:rFonts w:ascii="Times New Roman" w:hAnsi="Times New Roman" w:cs="Times New Roman"/>
          <w:sz w:val="24"/>
          <w:szCs w:val="24"/>
          <w:lang w:val="en-GB"/>
        </w:rPr>
        <w:t xml:space="preserve"> a report on annual basis on the main impediments to trade. The report will in particular reflect the current obstacles faced by companies and breach in the level-playing field that should prevail for companies within the region.</w:t>
      </w:r>
    </w:p>
    <w:p w:rsidR="002D68BE" w:rsidRPr="006A0A85" w:rsidRDefault="00035A78" w:rsidP="002D68BE">
      <w:pPr>
        <w:pStyle w:val="ListParagraph"/>
        <w:numPr>
          <w:ilvl w:val="0"/>
          <w:numId w:val="13"/>
        </w:numPr>
        <w:pBdr>
          <w:between w:val="single" w:sz="4" w:space="1" w:color="auto"/>
        </w:pBdr>
        <w:spacing w:after="0" w:line="360" w:lineRule="auto"/>
        <w:jc w:val="both"/>
        <w:rPr>
          <w:rFonts w:ascii="Times New Roman" w:hAnsi="Times New Roman" w:cs="Times New Roman"/>
          <w:sz w:val="24"/>
          <w:szCs w:val="24"/>
          <w:lang w:val="en-GB"/>
        </w:rPr>
      </w:pPr>
      <w:r w:rsidRPr="006A0A85">
        <w:rPr>
          <w:rFonts w:ascii="Times New Roman" w:hAnsi="Times New Roman" w:cs="Times New Roman"/>
          <w:sz w:val="24"/>
          <w:szCs w:val="24"/>
          <w:lang w:val="en-GB"/>
        </w:rPr>
        <w:t>Taking more seriously the main obstacles identified by GIZ, ITC and OECD and the provided recommendations.</w:t>
      </w:r>
    </w:p>
    <w:p w:rsidR="003E182C" w:rsidRDefault="002375A7" w:rsidP="002D68BE">
      <w:pPr>
        <w:pStyle w:val="ListParagraph"/>
        <w:numPr>
          <w:ilvl w:val="0"/>
          <w:numId w:val="13"/>
        </w:numPr>
        <w:pBdr>
          <w:between w:val="single" w:sz="4" w:space="1" w:color="auto"/>
        </w:pBdr>
        <w:spacing w:after="0" w:line="360" w:lineRule="auto"/>
        <w:jc w:val="both"/>
        <w:rPr>
          <w:rFonts w:ascii="Times New Roman" w:hAnsi="Times New Roman" w:cs="Times New Roman"/>
          <w:sz w:val="24"/>
          <w:szCs w:val="24"/>
          <w:lang w:val="en-GB"/>
        </w:rPr>
      </w:pPr>
      <w:r w:rsidRPr="006A0A85">
        <w:rPr>
          <w:rFonts w:ascii="Times New Roman" w:hAnsi="Times New Roman" w:cs="Times New Roman"/>
          <w:sz w:val="24"/>
          <w:szCs w:val="24"/>
          <w:lang w:val="en-GB"/>
        </w:rPr>
        <w:t>Kosovo has not been able to reap all the expected trade-related benefits of its participation in the CEFTA Agreement, in particular when comparing with the performance of other members of the regional grouping. Kosovo has experienced a structural and growing deficit in its regional trade, becoming a main import destination for exports of other CEFTA Members.</w:t>
      </w:r>
    </w:p>
    <w:p w:rsidR="00154AB9" w:rsidRPr="00154AB9" w:rsidRDefault="00154AB9" w:rsidP="00154AB9">
      <w:pPr>
        <w:pBdr>
          <w:between w:val="single" w:sz="4" w:space="1" w:color="auto"/>
        </w:pBdr>
        <w:spacing w:after="0" w:line="360" w:lineRule="auto"/>
        <w:ind w:left="780"/>
        <w:jc w:val="both"/>
        <w:rPr>
          <w:rFonts w:ascii="Times New Roman" w:hAnsi="Times New Roman" w:cs="Times New Roman"/>
          <w:sz w:val="24"/>
          <w:szCs w:val="24"/>
          <w:lang w:val="en-GB"/>
        </w:rPr>
      </w:pPr>
      <w:bookmarkStart w:id="0" w:name="_GoBack"/>
      <w:bookmarkEnd w:id="0"/>
    </w:p>
    <w:sectPr w:rsidR="00154AB9" w:rsidRPr="00154AB9" w:rsidSect="00491B58">
      <w:footerReference w:type="default" r:id="rId14"/>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642" w:rsidRDefault="00EC4642" w:rsidP="007C5F60">
      <w:pPr>
        <w:spacing w:after="0" w:line="240" w:lineRule="auto"/>
      </w:pPr>
      <w:r>
        <w:separator/>
      </w:r>
    </w:p>
  </w:endnote>
  <w:endnote w:type="continuationSeparator" w:id="0">
    <w:p w:rsidR="00EC4642" w:rsidRDefault="00EC4642" w:rsidP="007C5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4221762"/>
      <w:docPartObj>
        <w:docPartGallery w:val="Page Numbers (Bottom of Page)"/>
        <w:docPartUnique/>
      </w:docPartObj>
    </w:sdtPr>
    <w:sdtEndPr>
      <w:rPr>
        <w:noProof/>
      </w:rPr>
    </w:sdtEndPr>
    <w:sdtContent>
      <w:p w:rsidR="007C5F60" w:rsidRDefault="007C5F60">
        <w:pPr>
          <w:pStyle w:val="Footer"/>
          <w:jc w:val="center"/>
        </w:pPr>
        <w:r>
          <w:fldChar w:fldCharType="begin"/>
        </w:r>
        <w:r>
          <w:instrText xml:space="preserve"> PAGE   \* MERGEFORMAT </w:instrText>
        </w:r>
        <w:r>
          <w:fldChar w:fldCharType="separate"/>
        </w:r>
        <w:r w:rsidR="00154AB9">
          <w:rPr>
            <w:noProof/>
          </w:rPr>
          <w:t>7</w:t>
        </w:r>
        <w:r>
          <w:rPr>
            <w:noProof/>
          </w:rPr>
          <w:fldChar w:fldCharType="end"/>
        </w:r>
      </w:p>
    </w:sdtContent>
  </w:sdt>
  <w:p w:rsidR="007C5F60" w:rsidRDefault="007C5F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642" w:rsidRDefault="00EC4642" w:rsidP="007C5F60">
      <w:pPr>
        <w:spacing w:after="0" w:line="240" w:lineRule="auto"/>
      </w:pPr>
      <w:r>
        <w:separator/>
      </w:r>
    </w:p>
  </w:footnote>
  <w:footnote w:type="continuationSeparator" w:id="0">
    <w:p w:rsidR="00EC4642" w:rsidRDefault="00EC4642" w:rsidP="007C5F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67D6C"/>
    <w:multiLevelType w:val="multilevel"/>
    <w:tmpl w:val="F962A6F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226B31"/>
    <w:multiLevelType w:val="hybridMultilevel"/>
    <w:tmpl w:val="02EC51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7C34A2"/>
    <w:multiLevelType w:val="multilevel"/>
    <w:tmpl w:val="BB86A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5734D3"/>
    <w:multiLevelType w:val="hybridMultilevel"/>
    <w:tmpl w:val="65B8B7D4"/>
    <w:lvl w:ilvl="0" w:tplc="1EFAA8E2">
      <w:start w:val="1"/>
      <w:numFmt w:val="bullet"/>
      <w:lvlText w:val="•"/>
      <w:lvlJc w:val="left"/>
      <w:pPr>
        <w:tabs>
          <w:tab w:val="num" w:pos="720"/>
        </w:tabs>
        <w:ind w:left="720" w:hanging="360"/>
      </w:pPr>
      <w:rPr>
        <w:rFonts w:ascii="Arial" w:hAnsi="Arial" w:hint="default"/>
      </w:rPr>
    </w:lvl>
    <w:lvl w:ilvl="1" w:tplc="5890042C">
      <w:start w:val="63"/>
      <w:numFmt w:val="bullet"/>
      <w:lvlText w:val=""/>
      <w:lvlJc w:val="left"/>
      <w:pPr>
        <w:tabs>
          <w:tab w:val="num" w:pos="1440"/>
        </w:tabs>
        <w:ind w:left="1440" w:hanging="360"/>
      </w:pPr>
      <w:rPr>
        <w:rFonts w:ascii="Wingdings" w:hAnsi="Wingdings" w:hint="default"/>
      </w:rPr>
    </w:lvl>
    <w:lvl w:ilvl="2" w:tplc="6FA21D7C" w:tentative="1">
      <w:start w:val="1"/>
      <w:numFmt w:val="bullet"/>
      <w:lvlText w:val="•"/>
      <w:lvlJc w:val="left"/>
      <w:pPr>
        <w:tabs>
          <w:tab w:val="num" w:pos="2160"/>
        </w:tabs>
        <w:ind w:left="2160" w:hanging="360"/>
      </w:pPr>
      <w:rPr>
        <w:rFonts w:ascii="Arial" w:hAnsi="Arial" w:hint="default"/>
      </w:rPr>
    </w:lvl>
    <w:lvl w:ilvl="3" w:tplc="7F92794E" w:tentative="1">
      <w:start w:val="1"/>
      <w:numFmt w:val="bullet"/>
      <w:lvlText w:val="•"/>
      <w:lvlJc w:val="left"/>
      <w:pPr>
        <w:tabs>
          <w:tab w:val="num" w:pos="2880"/>
        </w:tabs>
        <w:ind w:left="2880" w:hanging="360"/>
      </w:pPr>
      <w:rPr>
        <w:rFonts w:ascii="Arial" w:hAnsi="Arial" w:hint="default"/>
      </w:rPr>
    </w:lvl>
    <w:lvl w:ilvl="4" w:tplc="13D2B5CA" w:tentative="1">
      <w:start w:val="1"/>
      <w:numFmt w:val="bullet"/>
      <w:lvlText w:val="•"/>
      <w:lvlJc w:val="left"/>
      <w:pPr>
        <w:tabs>
          <w:tab w:val="num" w:pos="3600"/>
        </w:tabs>
        <w:ind w:left="3600" w:hanging="360"/>
      </w:pPr>
      <w:rPr>
        <w:rFonts w:ascii="Arial" w:hAnsi="Arial" w:hint="default"/>
      </w:rPr>
    </w:lvl>
    <w:lvl w:ilvl="5" w:tplc="761468E0" w:tentative="1">
      <w:start w:val="1"/>
      <w:numFmt w:val="bullet"/>
      <w:lvlText w:val="•"/>
      <w:lvlJc w:val="left"/>
      <w:pPr>
        <w:tabs>
          <w:tab w:val="num" w:pos="4320"/>
        </w:tabs>
        <w:ind w:left="4320" w:hanging="360"/>
      </w:pPr>
      <w:rPr>
        <w:rFonts w:ascii="Arial" w:hAnsi="Arial" w:hint="default"/>
      </w:rPr>
    </w:lvl>
    <w:lvl w:ilvl="6" w:tplc="CB10CE42" w:tentative="1">
      <w:start w:val="1"/>
      <w:numFmt w:val="bullet"/>
      <w:lvlText w:val="•"/>
      <w:lvlJc w:val="left"/>
      <w:pPr>
        <w:tabs>
          <w:tab w:val="num" w:pos="5040"/>
        </w:tabs>
        <w:ind w:left="5040" w:hanging="360"/>
      </w:pPr>
      <w:rPr>
        <w:rFonts w:ascii="Arial" w:hAnsi="Arial" w:hint="default"/>
      </w:rPr>
    </w:lvl>
    <w:lvl w:ilvl="7" w:tplc="748CA496" w:tentative="1">
      <w:start w:val="1"/>
      <w:numFmt w:val="bullet"/>
      <w:lvlText w:val="•"/>
      <w:lvlJc w:val="left"/>
      <w:pPr>
        <w:tabs>
          <w:tab w:val="num" w:pos="5760"/>
        </w:tabs>
        <w:ind w:left="5760" w:hanging="360"/>
      </w:pPr>
      <w:rPr>
        <w:rFonts w:ascii="Arial" w:hAnsi="Arial" w:hint="default"/>
      </w:rPr>
    </w:lvl>
    <w:lvl w:ilvl="8" w:tplc="B55C323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1E16D10"/>
    <w:multiLevelType w:val="hybridMultilevel"/>
    <w:tmpl w:val="A5C4024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 w15:restartNumberingAfterBreak="0">
    <w:nsid w:val="26C50793"/>
    <w:multiLevelType w:val="hybridMultilevel"/>
    <w:tmpl w:val="A43E70FC"/>
    <w:lvl w:ilvl="0" w:tplc="E59A0304">
      <w:start w:val="1"/>
      <w:numFmt w:val="bullet"/>
      <w:lvlText w:val="•"/>
      <w:lvlJc w:val="left"/>
      <w:pPr>
        <w:tabs>
          <w:tab w:val="num" w:pos="720"/>
        </w:tabs>
        <w:ind w:left="720" w:hanging="360"/>
      </w:pPr>
      <w:rPr>
        <w:rFonts w:ascii="Arial" w:hAnsi="Arial" w:hint="default"/>
      </w:rPr>
    </w:lvl>
    <w:lvl w:ilvl="1" w:tplc="1550EE26" w:tentative="1">
      <w:start w:val="1"/>
      <w:numFmt w:val="bullet"/>
      <w:lvlText w:val="•"/>
      <w:lvlJc w:val="left"/>
      <w:pPr>
        <w:tabs>
          <w:tab w:val="num" w:pos="1440"/>
        </w:tabs>
        <w:ind w:left="1440" w:hanging="360"/>
      </w:pPr>
      <w:rPr>
        <w:rFonts w:ascii="Arial" w:hAnsi="Arial" w:hint="default"/>
      </w:rPr>
    </w:lvl>
    <w:lvl w:ilvl="2" w:tplc="CCDA7A14" w:tentative="1">
      <w:start w:val="1"/>
      <w:numFmt w:val="bullet"/>
      <w:lvlText w:val="•"/>
      <w:lvlJc w:val="left"/>
      <w:pPr>
        <w:tabs>
          <w:tab w:val="num" w:pos="2160"/>
        </w:tabs>
        <w:ind w:left="2160" w:hanging="360"/>
      </w:pPr>
      <w:rPr>
        <w:rFonts w:ascii="Arial" w:hAnsi="Arial" w:hint="default"/>
      </w:rPr>
    </w:lvl>
    <w:lvl w:ilvl="3" w:tplc="AE6E5274" w:tentative="1">
      <w:start w:val="1"/>
      <w:numFmt w:val="bullet"/>
      <w:lvlText w:val="•"/>
      <w:lvlJc w:val="left"/>
      <w:pPr>
        <w:tabs>
          <w:tab w:val="num" w:pos="2880"/>
        </w:tabs>
        <w:ind w:left="2880" w:hanging="360"/>
      </w:pPr>
      <w:rPr>
        <w:rFonts w:ascii="Arial" w:hAnsi="Arial" w:hint="default"/>
      </w:rPr>
    </w:lvl>
    <w:lvl w:ilvl="4" w:tplc="B80060E8" w:tentative="1">
      <w:start w:val="1"/>
      <w:numFmt w:val="bullet"/>
      <w:lvlText w:val="•"/>
      <w:lvlJc w:val="left"/>
      <w:pPr>
        <w:tabs>
          <w:tab w:val="num" w:pos="3600"/>
        </w:tabs>
        <w:ind w:left="3600" w:hanging="360"/>
      </w:pPr>
      <w:rPr>
        <w:rFonts w:ascii="Arial" w:hAnsi="Arial" w:hint="default"/>
      </w:rPr>
    </w:lvl>
    <w:lvl w:ilvl="5" w:tplc="30A6B444" w:tentative="1">
      <w:start w:val="1"/>
      <w:numFmt w:val="bullet"/>
      <w:lvlText w:val="•"/>
      <w:lvlJc w:val="left"/>
      <w:pPr>
        <w:tabs>
          <w:tab w:val="num" w:pos="4320"/>
        </w:tabs>
        <w:ind w:left="4320" w:hanging="360"/>
      </w:pPr>
      <w:rPr>
        <w:rFonts w:ascii="Arial" w:hAnsi="Arial" w:hint="default"/>
      </w:rPr>
    </w:lvl>
    <w:lvl w:ilvl="6" w:tplc="3F18F730" w:tentative="1">
      <w:start w:val="1"/>
      <w:numFmt w:val="bullet"/>
      <w:lvlText w:val="•"/>
      <w:lvlJc w:val="left"/>
      <w:pPr>
        <w:tabs>
          <w:tab w:val="num" w:pos="5040"/>
        </w:tabs>
        <w:ind w:left="5040" w:hanging="360"/>
      </w:pPr>
      <w:rPr>
        <w:rFonts w:ascii="Arial" w:hAnsi="Arial" w:hint="default"/>
      </w:rPr>
    </w:lvl>
    <w:lvl w:ilvl="7" w:tplc="A7CCACF4" w:tentative="1">
      <w:start w:val="1"/>
      <w:numFmt w:val="bullet"/>
      <w:lvlText w:val="•"/>
      <w:lvlJc w:val="left"/>
      <w:pPr>
        <w:tabs>
          <w:tab w:val="num" w:pos="5760"/>
        </w:tabs>
        <w:ind w:left="5760" w:hanging="360"/>
      </w:pPr>
      <w:rPr>
        <w:rFonts w:ascii="Arial" w:hAnsi="Arial" w:hint="default"/>
      </w:rPr>
    </w:lvl>
    <w:lvl w:ilvl="8" w:tplc="86C4A34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7483A07"/>
    <w:multiLevelType w:val="multilevel"/>
    <w:tmpl w:val="BA8889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8672C8"/>
    <w:multiLevelType w:val="hybridMultilevel"/>
    <w:tmpl w:val="8A6E45D2"/>
    <w:lvl w:ilvl="0" w:tplc="1EEA710A">
      <w:start w:val="1"/>
      <w:numFmt w:val="bullet"/>
      <w:lvlText w:val="•"/>
      <w:lvlJc w:val="left"/>
      <w:pPr>
        <w:tabs>
          <w:tab w:val="num" w:pos="720"/>
        </w:tabs>
        <w:ind w:left="720" w:hanging="360"/>
      </w:pPr>
      <w:rPr>
        <w:rFonts w:ascii="Arial" w:hAnsi="Arial" w:hint="default"/>
      </w:rPr>
    </w:lvl>
    <w:lvl w:ilvl="1" w:tplc="09FA29FE" w:tentative="1">
      <w:start w:val="1"/>
      <w:numFmt w:val="bullet"/>
      <w:lvlText w:val="•"/>
      <w:lvlJc w:val="left"/>
      <w:pPr>
        <w:tabs>
          <w:tab w:val="num" w:pos="1440"/>
        </w:tabs>
        <w:ind w:left="1440" w:hanging="360"/>
      </w:pPr>
      <w:rPr>
        <w:rFonts w:ascii="Arial" w:hAnsi="Arial" w:hint="default"/>
      </w:rPr>
    </w:lvl>
    <w:lvl w:ilvl="2" w:tplc="6E8424B2" w:tentative="1">
      <w:start w:val="1"/>
      <w:numFmt w:val="bullet"/>
      <w:lvlText w:val="•"/>
      <w:lvlJc w:val="left"/>
      <w:pPr>
        <w:tabs>
          <w:tab w:val="num" w:pos="2160"/>
        </w:tabs>
        <w:ind w:left="2160" w:hanging="360"/>
      </w:pPr>
      <w:rPr>
        <w:rFonts w:ascii="Arial" w:hAnsi="Arial" w:hint="default"/>
      </w:rPr>
    </w:lvl>
    <w:lvl w:ilvl="3" w:tplc="3EDE35FE" w:tentative="1">
      <w:start w:val="1"/>
      <w:numFmt w:val="bullet"/>
      <w:lvlText w:val="•"/>
      <w:lvlJc w:val="left"/>
      <w:pPr>
        <w:tabs>
          <w:tab w:val="num" w:pos="2880"/>
        </w:tabs>
        <w:ind w:left="2880" w:hanging="360"/>
      </w:pPr>
      <w:rPr>
        <w:rFonts w:ascii="Arial" w:hAnsi="Arial" w:hint="default"/>
      </w:rPr>
    </w:lvl>
    <w:lvl w:ilvl="4" w:tplc="B3D0D848" w:tentative="1">
      <w:start w:val="1"/>
      <w:numFmt w:val="bullet"/>
      <w:lvlText w:val="•"/>
      <w:lvlJc w:val="left"/>
      <w:pPr>
        <w:tabs>
          <w:tab w:val="num" w:pos="3600"/>
        </w:tabs>
        <w:ind w:left="3600" w:hanging="360"/>
      </w:pPr>
      <w:rPr>
        <w:rFonts w:ascii="Arial" w:hAnsi="Arial" w:hint="default"/>
      </w:rPr>
    </w:lvl>
    <w:lvl w:ilvl="5" w:tplc="FFB2FA72" w:tentative="1">
      <w:start w:val="1"/>
      <w:numFmt w:val="bullet"/>
      <w:lvlText w:val="•"/>
      <w:lvlJc w:val="left"/>
      <w:pPr>
        <w:tabs>
          <w:tab w:val="num" w:pos="4320"/>
        </w:tabs>
        <w:ind w:left="4320" w:hanging="360"/>
      </w:pPr>
      <w:rPr>
        <w:rFonts w:ascii="Arial" w:hAnsi="Arial" w:hint="default"/>
      </w:rPr>
    </w:lvl>
    <w:lvl w:ilvl="6" w:tplc="6ADC06F4" w:tentative="1">
      <w:start w:val="1"/>
      <w:numFmt w:val="bullet"/>
      <w:lvlText w:val="•"/>
      <w:lvlJc w:val="left"/>
      <w:pPr>
        <w:tabs>
          <w:tab w:val="num" w:pos="5040"/>
        </w:tabs>
        <w:ind w:left="5040" w:hanging="360"/>
      </w:pPr>
      <w:rPr>
        <w:rFonts w:ascii="Arial" w:hAnsi="Arial" w:hint="default"/>
      </w:rPr>
    </w:lvl>
    <w:lvl w:ilvl="7" w:tplc="326A951E" w:tentative="1">
      <w:start w:val="1"/>
      <w:numFmt w:val="bullet"/>
      <w:lvlText w:val="•"/>
      <w:lvlJc w:val="left"/>
      <w:pPr>
        <w:tabs>
          <w:tab w:val="num" w:pos="5760"/>
        </w:tabs>
        <w:ind w:left="5760" w:hanging="360"/>
      </w:pPr>
      <w:rPr>
        <w:rFonts w:ascii="Arial" w:hAnsi="Arial" w:hint="default"/>
      </w:rPr>
    </w:lvl>
    <w:lvl w:ilvl="8" w:tplc="3F7601C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D9955F3"/>
    <w:multiLevelType w:val="hybridMultilevel"/>
    <w:tmpl w:val="2E863714"/>
    <w:lvl w:ilvl="0" w:tplc="3B0EE440">
      <w:start w:val="1"/>
      <w:numFmt w:val="bullet"/>
      <w:lvlText w:val="•"/>
      <w:lvlJc w:val="left"/>
      <w:pPr>
        <w:tabs>
          <w:tab w:val="num" w:pos="720"/>
        </w:tabs>
        <w:ind w:left="720" w:hanging="360"/>
      </w:pPr>
      <w:rPr>
        <w:rFonts w:ascii="Arial" w:hAnsi="Arial" w:hint="default"/>
      </w:rPr>
    </w:lvl>
    <w:lvl w:ilvl="1" w:tplc="3098A446" w:tentative="1">
      <w:start w:val="1"/>
      <w:numFmt w:val="bullet"/>
      <w:lvlText w:val="•"/>
      <w:lvlJc w:val="left"/>
      <w:pPr>
        <w:tabs>
          <w:tab w:val="num" w:pos="1440"/>
        </w:tabs>
        <w:ind w:left="1440" w:hanging="360"/>
      </w:pPr>
      <w:rPr>
        <w:rFonts w:ascii="Arial" w:hAnsi="Arial" w:hint="default"/>
      </w:rPr>
    </w:lvl>
    <w:lvl w:ilvl="2" w:tplc="81481018" w:tentative="1">
      <w:start w:val="1"/>
      <w:numFmt w:val="bullet"/>
      <w:lvlText w:val="•"/>
      <w:lvlJc w:val="left"/>
      <w:pPr>
        <w:tabs>
          <w:tab w:val="num" w:pos="2160"/>
        </w:tabs>
        <w:ind w:left="2160" w:hanging="360"/>
      </w:pPr>
      <w:rPr>
        <w:rFonts w:ascii="Arial" w:hAnsi="Arial" w:hint="default"/>
      </w:rPr>
    </w:lvl>
    <w:lvl w:ilvl="3" w:tplc="C8004858" w:tentative="1">
      <w:start w:val="1"/>
      <w:numFmt w:val="bullet"/>
      <w:lvlText w:val="•"/>
      <w:lvlJc w:val="left"/>
      <w:pPr>
        <w:tabs>
          <w:tab w:val="num" w:pos="2880"/>
        </w:tabs>
        <w:ind w:left="2880" w:hanging="360"/>
      </w:pPr>
      <w:rPr>
        <w:rFonts w:ascii="Arial" w:hAnsi="Arial" w:hint="default"/>
      </w:rPr>
    </w:lvl>
    <w:lvl w:ilvl="4" w:tplc="D14E5CC2" w:tentative="1">
      <w:start w:val="1"/>
      <w:numFmt w:val="bullet"/>
      <w:lvlText w:val="•"/>
      <w:lvlJc w:val="left"/>
      <w:pPr>
        <w:tabs>
          <w:tab w:val="num" w:pos="3600"/>
        </w:tabs>
        <w:ind w:left="3600" w:hanging="360"/>
      </w:pPr>
      <w:rPr>
        <w:rFonts w:ascii="Arial" w:hAnsi="Arial" w:hint="default"/>
      </w:rPr>
    </w:lvl>
    <w:lvl w:ilvl="5" w:tplc="ECCE595C" w:tentative="1">
      <w:start w:val="1"/>
      <w:numFmt w:val="bullet"/>
      <w:lvlText w:val="•"/>
      <w:lvlJc w:val="left"/>
      <w:pPr>
        <w:tabs>
          <w:tab w:val="num" w:pos="4320"/>
        </w:tabs>
        <w:ind w:left="4320" w:hanging="360"/>
      </w:pPr>
      <w:rPr>
        <w:rFonts w:ascii="Arial" w:hAnsi="Arial" w:hint="default"/>
      </w:rPr>
    </w:lvl>
    <w:lvl w:ilvl="6" w:tplc="759074D0" w:tentative="1">
      <w:start w:val="1"/>
      <w:numFmt w:val="bullet"/>
      <w:lvlText w:val="•"/>
      <w:lvlJc w:val="left"/>
      <w:pPr>
        <w:tabs>
          <w:tab w:val="num" w:pos="5040"/>
        </w:tabs>
        <w:ind w:left="5040" w:hanging="360"/>
      </w:pPr>
      <w:rPr>
        <w:rFonts w:ascii="Arial" w:hAnsi="Arial" w:hint="default"/>
      </w:rPr>
    </w:lvl>
    <w:lvl w:ilvl="7" w:tplc="CE564030" w:tentative="1">
      <w:start w:val="1"/>
      <w:numFmt w:val="bullet"/>
      <w:lvlText w:val="•"/>
      <w:lvlJc w:val="left"/>
      <w:pPr>
        <w:tabs>
          <w:tab w:val="num" w:pos="5760"/>
        </w:tabs>
        <w:ind w:left="5760" w:hanging="360"/>
      </w:pPr>
      <w:rPr>
        <w:rFonts w:ascii="Arial" w:hAnsi="Arial" w:hint="default"/>
      </w:rPr>
    </w:lvl>
    <w:lvl w:ilvl="8" w:tplc="E7A6705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B7873B8"/>
    <w:multiLevelType w:val="multilevel"/>
    <w:tmpl w:val="9D507D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B696F3D"/>
    <w:multiLevelType w:val="hybridMultilevel"/>
    <w:tmpl w:val="B170AA3E"/>
    <w:lvl w:ilvl="0" w:tplc="06DCA3AA">
      <w:start w:val="1"/>
      <w:numFmt w:val="bullet"/>
      <w:lvlText w:val="•"/>
      <w:lvlJc w:val="left"/>
      <w:pPr>
        <w:tabs>
          <w:tab w:val="num" w:pos="7560"/>
        </w:tabs>
        <w:ind w:left="7560" w:hanging="360"/>
      </w:pPr>
      <w:rPr>
        <w:rFonts w:ascii="Arial" w:hAnsi="Arial" w:hint="default"/>
      </w:rPr>
    </w:lvl>
    <w:lvl w:ilvl="1" w:tplc="20F6E788">
      <w:start w:val="1"/>
      <w:numFmt w:val="bullet"/>
      <w:lvlText w:val="•"/>
      <w:lvlJc w:val="left"/>
      <w:pPr>
        <w:tabs>
          <w:tab w:val="num" w:pos="8280"/>
        </w:tabs>
        <w:ind w:left="8280" w:hanging="360"/>
      </w:pPr>
      <w:rPr>
        <w:rFonts w:ascii="Arial" w:hAnsi="Arial" w:hint="default"/>
      </w:rPr>
    </w:lvl>
    <w:lvl w:ilvl="2" w:tplc="FC70F15C">
      <w:start w:val="1"/>
      <w:numFmt w:val="bullet"/>
      <w:lvlText w:val="•"/>
      <w:lvlJc w:val="left"/>
      <w:pPr>
        <w:tabs>
          <w:tab w:val="num" w:pos="9000"/>
        </w:tabs>
        <w:ind w:left="9000" w:hanging="360"/>
      </w:pPr>
      <w:rPr>
        <w:rFonts w:ascii="Arial" w:hAnsi="Arial" w:hint="default"/>
      </w:rPr>
    </w:lvl>
    <w:lvl w:ilvl="3" w:tplc="184EE1A6" w:tentative="1">
      <w:start w:val="1"/>
      <w:numFmt w:val="bullet"/>
      <w:lvlText w:val="•"/>
      <w:lvlJc w:val="left"/>
      <w:pPr>
        <w:tabs>
          <w:tab w:val="num" w:pos="9720"/>
        </w:tabs>
        <w:ind w:left="9720" w:hanging="360"/>
      </w:pPr>
      <w:rPr>
        <w:rFonts w:ascii="Arial" w:hAnsi="Arial" w:hint="default"/>
      </w:rPr>
    </w:lvl>
    <w:lvl w:ilvl="4" w:tplc="27404438" w:tentative="1">
      <w:start w:val="1"/>
      <w:numFmt w:val="bullet"/>
      <w:lvlText w:val="•"/>
      <w:lvlJc w:val="left"/>
      <w:pPr>
        <w:tabs>
          <w:tab w:val="num" w:pos="10440"/>
        </w:tabs>
        <w:ind w:left="10440" w:hanging="360"/>
      </w:pPr>
      <w:rPr>
        <w:rFonts w:ascii="Arial" w:hAnsi="Arial" w:hint="default"/>
      </w:rPr>
    </w:lvl>
    <w:lvl w:ilvl="5" w:tplc="A6AA49A2" w:tentative="1">
      <w:start w:val="1"/>
      <w:numFmt w:val="bullet"/>
      <w:lvlText w:val="•"/>
      <w:lvlJc w:val="left"/>
      <w:pPr>
        <w:tabs>
          <w:tab w:val="num" w:pos="11160"/>
        </w:tabs>
        <w:ind w:left="11160" w:hanging="360"/>
      </w:pPr>
      <w:rPr>
        <w:rFonts w:ascii="Arial" w:hAnsi="Arial" w:hint="default"/>
      </w:rPr>
    </w:lvl>
    <w:lvl w:ilvl="6" w:tplc="55E46BD2" w:tentative="1">
      <w:start w:val="1"/>
      <w:numFmt w:val="bullet"/>
      <w:lvlText w:val="•"/>
      <w:lvlJc w:val="left"/>
      <w:pPr>
        <w:tabs>
          <w:tab w:val="num" w:pos="11880"/>
        </w:tabs>
        <w:ind w:left="11880" w:hanging="360"/>
      </w:pPr>
      <w:rPr>
        <w:rFonts w:ascii="Arial" w:hAnsi="Arial" w:hint="default"/>
      </w:rPr>
    </w:lvl>
    <w:lvl w:ilvl="7" w:tplc="B00C42BA" w:tentative="1">
      <w:start w:val="1"/>
      <w:numFmt w:val="bullet"/>
      <w:lvlText w:val="•"/>
      <w:lvlJc w:val="left"/>
      <w:pPr>
        <w:tabs>
          <w:tab w:val="num" w:pos="12600"/>
        </w:tabs>
        <w:ind w:left="12600" w:hanging="360"/>
      </w:pPr>
      <w:rPr>
        <w:rFonts w:ascii="Arial" w:hAnsi="Arial" w:hint="default"/>
      </w:rPr>
    </w:lvl>
    <w:lvl w:ilvl="8" w:tplc="560452F2" w:tentative="1">
      <w:start w:val="1"/>
      <w:numFmt w:val="bullet"/>
      <w:lvlText w:val="•"/>
      <w:lvlJc w:val="left"/>
      <w:pPr>
        <w:tabs>
          <w:tab w:val="num" w:pos="13320"/>
        </w:tabs>
        <w:ind w:left="13320" w:hanging="360"/>
      </w:pPr>
      <w:rPr>
        <w:rFonts w:ascii="Arial" w:hAnsi="Arial" w:hint="default"/>
      </w:rPr>
    </w:lvl>
  </w:abstractNum>
  <w:abstractNum w:abstractNumId="11" w15:restartNumberingAfterBreak="0">
    <w:nsid w:val="76AE353B"/>
    <w:multiLevelType w:val="hybridMultilevel"/>
    <w:tmpl w:val="8C8ECEF4"/>
    <w:lvl w:ilvl="0" w:tplc="214A9C52">
      <w:start w:val="1"/>
      <w:numFmt w:val="bullet"/>
      <w:lvlText w:val="•"/>
      <w:lvlJc w:val="left"/>
      <w:pPr>
        <w:tabs>
          <w:tab w:val="num" w:pos="720"/>
        </w:tabs>
        <w:ind w:left="720" w:hanging="360"/>
      </w:pPr>
      <w:rPr>
        <w:rFonts w:ascii="Arial" w:hAnsi="Arial" w:hint="default"/>
      </w:rPr>
    </w:lvl>
    <w:lvl w:ilvl="1" w:tplc="9F4EE31C" w:tentative="1">
      <w:start w:val="1"/>
      <w:numFmt w:val="bullet"/>
      <w:lvlText w:val="•"/>
      <w:lvlJc w:val="left"/>
      <w:pPr>
        <w:tabs>
          <w:tab w:val="num" w:pos="1440"/>
        </w:tabs>
        <w:ind w:left="1440" w:hanging="360"/>
      </w:pPr>
      <w:rPr>
        <w:rFonts w:ascii="Arial" w:hAnsi="Arial" w:hint="default"/>
      </w:rPr>
    </w:lvl>
    <w:lvl w:ilvl="2" w:tplc="6A409764" w:tentative="1">
      <w:start w:val="1"/>
      <w:numFmt w:val="bullet"/>
      <w:lvlText w:val="•"/>
      <w:lvlJc w:val="left"/>
      <w:pPr>
        <w:tabs>
          <w:tab w:val="num" w:pos="2160"/>
        </w:tabs>
        <w:ind w:left="2160" w:hanging="360"/>
      </w:pPr>
      <w:rPr>
        <w:rFonts w:ascii="Arial" w:hAnsi="Arial" w:hint="default"/>
      </w:rPr>
    </w:lvl>
    <w:lvl w:ilvl="3" w:tplc="3E441BB6" w:tentative="1">
      <w:start w:val="1"/>
      <w:numFmt w:val="bullet"/>
      <w:lvlText w:val="•"/>
      <w:lvlJc w:val="left"/>
      <w:pPr>
        <w:tabs>
          <w:tab w:val="num" w:pos="2880"/>
        </w:tabs>
        <w:ind w:left="2880" w:hanging="360"/>
      </w:pPr>
      <w:rPr>
        <w:rFonts w:ascii="Arial" w:hAnsi="Arial" w:hint="default"/>
      </w:rPr>
    </w:lvl>
    <w:lvl w:ilvl="4" w:tplc="707E1FFA" w:tentative="1">
      <w:start w:val="1"/>
      <w:numFmt w:val="bullet"/>
      <w:lvlText w:val="•"/>
      <w:lvlJc w:val="left"/>
      <w:pPr>
        <w:tabs>
          <w:tab w:val="num" w:pos="3600"/>
        </w:tabs>
        <w:ind w:left="3600" w:hanging="360"/>
      </w:pPr>
      <w:rPr>
        <w:rFonts w:ascii="Arial" w:hAnsi="Arial" w:hint="default"/>
      </w:rPr>
    </w:lvl>
    <w:lvl w:ilvl="5" w:tplc="2BF0DCAA" w:tentative="1">
      <w:start w:val="1"/>
      <w:numFmt w:val="bullet"/>
      <w:lvlText w:val="•"/>
      <w:lvlJc w:val="left"/>
      <w:pPr>
        <w:tabs>
          <w:tab w:val="num" w:pos="4320"/>
        </w:tabs>
        <w:ind w:left="4320" w:hanging="360"/>
      </w:pPr>
      <w:rPr>
        <w:rFonts w:ascii="Arial" w:hAnsi="Arial" w:hint="default"/>
      </w:rPr>
    </w:lvl>
    <w:lvl w:ilvl="6" w:tplc="23E8E0A6" w:tentative="1">
      <w:start w:val="1"/>
      <w:numFmt w:val="bullet"/>
      <w:lvlText w:val="•"/>
      <w:lvlJc w:val="left"/>
      <w:pPr>
        <w:tabs>
          <w:tab w:val="num" w:pos="5040"/>
        </w:tabs>
        <w:ind w:left="5040" w:hanging="360"/>
      </w:pPr>
      <w:rPr>
        <w:rFonts w:ascii="Arial" w:hAnsi="Arial" w:hint="default"/>
      </w:rPr>
    </w:lvl>
    <w:lvl w:ilvl="7" w:tplc="E50801C6" w:tentative="1">
      <w:start w:val="1"/>
      <w:numFmt w:val="bullet"/>
      <w:lvlText w:val="•"/>
      <w:lvlJc w:val="left"/>
      <w:pPr>
        <w:tabs>
          <w:tab w:val="num" w:pos="5760"/>
        </w:tabs>
        <w:ind w:left="5760" w:hanging="360"/>
      </w:pPr>
      <w:rPr>
        <w:rFonts w:ascii="Arial" w:hAnsi="Arial" w:hint="default"/>
      </w:rPr>
    </w:lvl>
    <w:lvl w:ilvl="8" w:tplc="56DA3E8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7EB4256"/>
    <w:multiLevelType w:val="multilevel"/>
    <w:tmpl w:val="73526F98"/>
    <w:lvl w:ilvl="0">
      <w:start w:val="1"/>
      <w:numFmt w:val="bullet"/>
      <w:lvlText w:val=""/>
      <w:lvlJc w:val="left"/>
      <w:pPr>
        <w:tabs>
          <w:tab w:val="num" w:pos="720"/>
        </w:tabs>
        <w:ind w:left="720" w:hanging="360"/>
      </w:pPr>
      <w:rPr>
        <w:rFonts w:ascii="Times New Roman" w:hAnsi="Times New Roman" w:cs="Times New Roman"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5"/>
  </w:num>
  <w:num w:numId="3">
    <w:abstractNumId w:val="7"/>
  </w:num>
  <w:num w:numId="4">
    <w:abstractNumId w:val="3"/>
  </w:num>
  <w:num w:numId="5">
    <w:abstractNumId w:val="8"/>
  </w:num>
  <w:num w:numId="6">
    <w:abstractNumId w:val="10"/>
  </w:num>
  <w:num w:numId="7">
    <w:abstractNumId w:val="2"/>
  </w:num>
  <w:num w:numId="8">
    <w:abstractNumId w:val="12"/>
  </w:num>
  <w:num w:numId="9">
    <w:abstractNumId w:val="9"/>
  </w:num>
  <w:num w:numId="10">
    <w:abstractNumId w:val="1"/>
  </w:num>
  <w:num w:numId="11">
    <w:abstractNumId w:val="6"/>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4CC"/>
    <w:rsid w:val="00024A24"/>
    <w:rsid w:val="000353B6"/>
    <w:rsid w:val="00035A78"/>
    <w:rsid w:val="0004425B"/>
    <w:rsid w:val="000467EF"/>
    <w:rsid w:val="00052978"/>
    <w:rsid w:val="000635E6"/>
    <w:rsid w:val="00066F77"/>
    <w:rsid w:val="000709C0"/>
    <w:rsid w:val="00080C9B"/>
    <w:rsid w:val="00087902"/>
    <w:rsid w:val="000C4DBC"/>
    <w:rsid w:val="000C7EAB"/>
    <w:rsid w:val="000D0123"/>
    <w:rsid w:val="000D3AF9"/>
    <w:rsid w:val="000E05E7"/>
    <w:rsid w:val="000E067C"/>
    <w:rsid w:val="001067CF"/>
    <w:rsid w:val="001134CC"/>
    <w:rsid w:val="00154AB9"/>
    <w:rsid w:val="001646AB"/>
    <w:rsid w:val="001928AC"/>
    <w:rsid w:val="001A25CC"/>
    <w:rsid w:val="001A634F"/>
    <w:rsid w:val="001B4F7C"/>
    <w:rsid w:val="001C296E"/>
    <w:rsid w:val="001C64CC"/>
    <w:rsid w:val="001D58FF"/>
    <w:rsid w:val="001E2069"/>
    <w:rsid w:val="001E3315"/>
    <w:rsid w:val="001E79BD"/>
    <w:rsid w:val="00217B1F"/>
    <w:rsid w:val="00221D2A"/>
    <w:rsid w:val="00224D9E"/>
    <w:rsid w:val="0023357A"/>
    <w:rsid w:val="002375A7"/>
    <w:rsid w:val="002539B3"/>
    <w:rsid w:val="002617B7"/>
    <w:rsid w:val="0026586C"/>
    <w:rsid w:val="002B773E"/>
    <w:rsid w:val="002C0CE6"/>
    <w:rsid w:val="002D68BE"/>
    <w:rsid w:val="00324780"/>
    <w:rsid w:val="0034021F"/>
    <w:rsid w:val="0034088B"/>
    <w:rsid w:val="003469A0"/>
    <w:rsid w:val="003C34DF"/>
    <w:rsid w:val="003E182C"/>
    <w:rsid w:val="003F670E"/>
    <w:rsid w:val="003F71EA"/>
    <w:rsid w:val="00405016"/>
    <w:rsid w:val="004122A8"/>
    <w:rsid w:val="00432CF4"/>
    <w:rsid w:val="00470331"/>
    <w:rsid w:val="00485D28"/>
    <w:rsid w:val="00491B58"/>
    <w:rsid w:val="00492CDD"/>
    <w:rsid w:val="0049793F"/>
    <w:rsid w:val="004B0CE4"/>
    <w:rsid w:val="004C6363"/>
    <w:rsid w:val="004D077C"/>
    <w:rsid w:val="004E2957"/>
    <w:rsid w:val="005033FE"/>
    <w:rsid w:val="0052644F"/>
    <w:rsid w:val="005276BC"/>
    <w:rsid w:val="00534953"/>
    <w:rsid w:val="00541E45"/>
    <w:rsid w:val="00547DBD"/>
    <w:rsid w:val="00550D6B"/>
    <w:rsid w:val="0057102B"/>
    <w:rsid w:val="00574CE9"/>
    <w:rsid w:val="00580B1E"/>
    <w:rsid w:val="00582E5C"/>
    <w:rsid w:val="005B1079"/>
    <w:rsid w:val="00605E2B"/>
    <w:rsid w:val="006253C7"/>
    <w:rsid w:val="00627206"/>
    <w:rsid w:val="00633FDE"/>
    <w:rsid w:val="00634FE6"/>
    <w:rsid w:val="0064481C"/>
    <w:rsid w:val="00646C4D"/>
    <w:rsid w:val="00647C32"/>
    <w:rsid w:val="006526DF"/>
    <w:rsid w:val="0065293D"/>
    <w:rsid w:val="00655B93"/>
    <w:rsid w:val="0066462F"/>
    <w:rsid w:val="006707A7"/>
    <w:rsid w:val="006708AC"/>
    <w:rsid w:val="00692CC3"/>
    <w:rsid w:val="006A0A85"/>
    <w:rsid w:val="006A0A8D"/>
    <w:rsid w:val="006C110A"/>
    <w:rsid w:val="006F1BED"/>
    <w:rsid w:val="00721014"/>
    <w:rsid w:val="0073315E"/>
    <w:rsid w:val="00762761"/>
    <w:rsid w:val="00787D37"/>
    <w:rsid w:val="00790B64"/>
    <w:rsid w:val="007A79F1"/>
    <w:rsid w:val="007B0D75"/>
    <w:rsid w:val="007C11C6"/>
    <w:rsid w:val="007C5F60"/>
    <w:rsid w:val="007D2D89"/>
    <w:rsid w:val="007D54FA"/>
    <w:rsid w:val="007E2896"/>
    <w:rsid w:val="007F175E"/>
    <w:rsid w:val="0081374F"/>
    <w:rsid w:val="00857A53"/>
    <w:rsid w:val="0086314C"/>
    <w:rsid w:val="00870411"/>
    <w:rsid w:val="00872E22"/>
    <w:rsid w:val="00886218"/>
    <w:rsid w:val="008B25C9"/>
    <w:rsid w:val="008D74EE"/>
    <w:rsid w:val="00915D2A"/>
    <w:rsid w:val="009176BF"/>
    <w:rsid w:val="00922887"/>
    <w:rsid w:val="00941319"/>
    <w:rsid w:val="00946AB6"/>
    <w:rsid w:val="00951D8C"/>
    <w:rsid w:val="00955E1E"/>
    <w:rsid w:val="00957C65"/>
    <w:rsid w:val="00965731"/>
    <w:rsid w:val="00974AF2"/>
    <w:rsid w:val="00975A88"/>
    <w:rsid w:val="00976D39"/>
    <w:rsid w:val="00985109"/>
    <w:rsid w:val="009A4EC8"/>
    <w:rsid w:val="009A582D"/>
    <w:rsid w:val="009C001A"/>
    <w:rsid w:val="009D2290"/>
    <w:rsid w:val="009D5A70"/>
    <w:rsid w:val="009D7FCD"/>
    <w:rsid w:val="009E4A9B"/>
    <w:rsid w:val="00A122A9"/>
    <w:rsid w:val="00A146B1"/>
    <w:rsid w:val="00A254E6"/>
    <w:rsid w:val="00A51A81"/>
    <w:rsid w:val="00A62C83"/>
    <w:rsid w:val="00A633F4"/>
    <w:rsid w:val="00A72A77"/>
    <w:rsid w:val="00A72D7E"/>
    <w:rsid w:val="00A77B9F"/>
    <w:rsid w:val="00A835E4"/>
    <w:rsid w:val="00A96C82"/>
    <w:rsid w:val="00A97038"/>
    <w:rsid w:val="00AB3D67"/>
    <w:rsid w:val="00AC05AC"/>
    <w:rsid w:val="00AC0E10"/>
    <w:rsid w:val="00AC1EFB"/>
    <w:rsid w:val="00AE10DB"/>
    <w:rsid w:val="00AE69CE"/>
    <w:rsid w:val="00B2741C"/>
    <w:rsid w:val="00B459D2"/>
    <w:rsid w:val="00B45DCB"/>
    <w:rsid w:val="00B607D3"/>
    <w:rsid w:val="00BB0E26"/>
    <w:rsid w:val="00BC3C24"/>
    <w:rsid w:val="00BC7781"/>
    <w:rsid w:val="00BD0284"/>
    <w:rsid w:val="00BD6AE3"/>
    <w:rsid w:val="00BD734F"/>
    <w:rsid w:val="00BE35B1"/>
    <w:rsid w:val="00BE6D16"/>
    <w:rsid w:val="00BF14F5"/>
    <w:rsid w:val="00BF49BF"/>
    <w:rsid w:val="00C05FC7"/>
    <w:rsid w:val="00C078DE"/>
    <w:rsid w:val="00C35287"/>
    <w:rsid w:val="00C3537C"/>
    <w:rsid w:val="00C43E66"/>
    <w:rsid w:val="00C51515"/>
    <w:rsid w:val="00C575EE"/>
    <w:rsid w:val="00C65092"/>
    <w:rsid w:val="00C66DF3"/>
    <w:rsid w:val="00CB5B92"/>
    <w:rsid w:val="00CC2162"/>
    <w:rsid w:val="00CC374A"/>
    <w:rsid w:val="00CD15A1"/>
    <w:rsid w:val="00CD2602"/>
    <w:rsid w:val="00D022F8"/>
    <w:rsid w:val="00D1546C"/>
    <w:rsid w:val="00D24263"/>
    <w:rsid w:val="00D31BD9"/>
    <w:rsid w:val="00D40628"/>
    <w:rsid w:val="00D67BE5"/>
    <w:rsid w:val="00D87E5A"/>
    <w:rsid w:val="00D956ED"/>
    <w:rsid w:val="00DE1E35"/>
    <w:rsid w:val="00DE3949"/>
    <w:rsid w:val="00DE483F"/>
    <w:rsid w:val="00DE7668"/>
    <w:rsid w:val="00DF3743"/>
    <w:rsid w:val="00DF4723"/>
    <w:rsid w:val="00DF4845"/>
    <w:rsid w:val="00E10D35"/>
    <w:rsid w:val="00E138EB"/>
    <w:rsid w:val="00E13C96"/>
    <w:rsid w:val="00E25DF6"/>
    <w:rsid w:val="00E4529B"/>
    <w:rsid w:val="00E45786"/>
    <w:rsid w:val="00E52D1F"/>
    <w:rsid w:val="00E904A4"/>
    <w:rsid w:val="00E91D23"/>
    <w:rsid w:val="00EA6D70"/>
    <w:rsid w:val="00EB7455"/>
    <w:rsid w:val="00EC4642"/>
    <w:rsid w:val="00EE496F"/>
    <w:rsid w:val="00EE5713"/>
    <w:rsid w:val="00F37916"/>
    <w:rsid w:val="00F51187"/>
    <w:rsid w:val="00F53ECC"/>
    <w:rsid w:val="00F67108"/>
    <w:rsid w:val="00F70B97"/>
    <w:rsid w:val="00F83061"/>
    <w:rsid w:val="00F95541"/>
    <w:rsid w:val="00FA4E6C"/>
    <w:rsid w:val="00FD008A"/>
    <w:rsid w:val="00FD6B57"/>
    <w:rsid w:val="00FD6E77"/>
    <w:rsid w:val="00FF43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800E6B-C85A-4DF2-9B73-AFFB9AD97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3FDE"/>
    <w:pPr>
      <w:spacing w:after="200" w:line="276" w:lineRule="auto"/>
    </w:pPr>
  </w:style>
  <w:style w:type="paragraph" w:styleId="Heading1">
    <w:name w:val="heading 1"/>
    <w:basedOn w:val="Normal"/>
    <w:next w:val="Normal"/>
    <w:link w:val="Heading1Char"/>
    <w:uiPriority w:val="9"/>
    <w:qFormat/>
    <w:rsid w:val="00633FDE"/>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FDE"/>
    <w:rPr>
      <w:rFonts w:asciiTheme="majorHAnsi" w:eastAsiaTheme="majorEastAsia" w:hAnsiTheme="majorHAnsi" w:cstheme="majorBidi"/>
      <w:color w:val="2F5496" w:themeColor="accent1" w:themeShade="BF"/>
      <w:sz w:val="32"/>
      <w:szCs w:val="32"/>
      <w:lang w:val="en-US"/>
    </w:rPr>
  </w:style>
  <w:style w:type="paragraph" w:styleId="BodyText">
    <w:name w:val="Body Text"/>
    <w:basedOn w:val="Normal"/>
    <w:link w:val="BodyTextChar"/>
    <w:uiPriority w:val="1"/>
    <w:qFormat/>
    <w:rsid w:val="00633FDE"/>
    <w:pPr>
      <w:widowControl w:val="0"/>
      <w:spacing w:after="0" w:line="240" w:lineRule="auto"/>
      <w:ind w:left="1440"/>
    </w:pPr>
    <w:rPr>
      <w:rFonts w:ascii="Century Schoolbook" w:eastAsia="Century Schoolbook" w:hAnsi="Century Schoolbook" w:cs="Times New Roman"/>
      <w:sz w:val="20"/>
      <w:szCs w:val="20"/>
    </w:rPr>
  </w:style>
  <w:style w:type="character" w:customStyle="1" w:styleId="BodyTextChar">
    <w:name w:val="Body Text Char"/>
    <w:basedOn w:val="DefaultParagraphFont"/>
    <w:link w:val="BodyText"/>
    <w:uiPriority w:val="1"/>
    <w:rsid w:val="00633FDE"/>
    <w:rPr>
      <w:rFonts w:ascii="Century Schoolbook" w:eastAsia="Century Schoolbook" w:hAnsi="Century Schoolbook" w:cs="Times New Roman"/>
      <w:sz w:val="20"/>
      <w:szCs w:val="20"/>
      <w:lang w:val="en-US"/>
    </w:rPr>
  </w:style>
  <w:style w:type="table" w:customStyle="1" w:styleId="Calendar1">
    <w:name w:val="Calendar 1"/>
    <w:basedOn w:val="TableNormal"/>
    <w:uiPriority w:val="99"/>
    <w:qFormat/>
    <w:rsid w:val="000C7EAB"/>
    <w:pPr>
      <w:spacing w:after="0" w:line="240" w:lineRule="auto"/>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PlainTable2">
    <w:name w:val="Plain Table 2"/>
    <w:basedOn w:val="TableNormal"/>
    <w:uiPriority w:val="42"/>
    <w:rsid w:val="000C7EA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59"/>
    <w:rsid w:val="000C7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AE69CE"/>
    <w:rPr>
      <w:i/>
      <w:iCs/>
      <w:color w:val="404040"/>
    </w:rPr>
  </w:style>
  <w:style w:type="paragraph" w:styleId="ListParagraph">
    <w:name w:val="List Paragraph"/>
    <w:basedOn w:val="Normal"/>
    <w:uiPriority w:val="34"/>
    <w:qFormat/>
    <w:rsid w:val="009176BF"/>
    <w:pPr>
      <w:ind w:left="720"/>
      <w:contextualSpacing/>
    </w:pPr>
  </w:style>
  <w:style w:type="paragraph" w:styleId="Header">
    <w:name w:val="header"/>
    <w:basedOn w:val="Normal"/>
    <w:link w:val="HeaderChar"/>
    <w:uiPriority w:val="99"/>
    <w:unhideWhenUsed/>
    <w:rsid w:val="007C5F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5F60"/>
  </w:style>
  <w:style w:type="paragraph" w:styleId="Footer">
    <w:name w:val="footer"/>
    <w:basedOn w:val="Normal"/>
    <w:link w:val="FooterChar"/>
    <w:uiPriority w:val="99"/>
    <w:unhideWhenUsed/>
    <w:rsid w:val="007C5F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5F60"/>
  </w:style>
  <w:style w:type="paragraph" w:styleId="Revision">
    <w:name w:val="Revision"/>
    <w:hidden/>
    <w:uiPriority w:val="99"/>
    <w:semiHidden/>
    <w:rsid w:val="00627206"/>
    <w:pPr>
      <w:spacing w:after="0" w:line="240" w:lineRule="auto"/>
    </w:pPr>
  </w:style>
  <w:style w:type="paragraph" w:styleId="BalloonText">
    <w:name w:val="Balloon Text"/>
    <w:basedOn w:val="Normal"/>
    <w:link w:val="BalloonTextChar"/>
    <w:uiPriority w:val="99"/>
    <w:semiHidden/>
    <w:unhideWhenUsed/>
    <w:rsid w:val="006272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2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3DA3267-73F8-4171-ABF8-F1DD85711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1989</Words>
  <Characters>11341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Zef Dedaj</dc:creator>
  <cp:lastModifiedBy>Zef Dedaj</cp:lastModifiedBy>
  <cp:revision>18</cp:revision>
  <dcterms:created xsi:type="dcterms:W3CDTF">2019-05-27T08:30:00Z</dcterms:created>
  <dcterms:modified xsi:type="dcterms:W3CDTF">2019-05-27T08:39:00Z</dcterms:modified>
</cp:coreProperties>
</file>