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6D" w:rsidRPr="00684EF4" w:rsidRDefault="00C8016D" w:rsidP="008D68B8">
      <w:pPr>
        <w:rPr>
          <w:b/>
          <w:bCs/>
        </w:rPr>
      </w:pPr>
    </w:p>
    <w:p w:rsidR="00AD5E3D" w:rsidRDefault="00C0026F" w:rsidP="007327F4">
      <w:pPr>
        <w:jc w:val="center"/>
        <w:rPr>
          <w:b/>
          <w:bCs/>
          <w:sz w:val="24"/>
          <w:szCs w:val="24"/>
        </w:rPr>
      </w:pPr>
      <w:r>
        <w:rPr>
          <w:b/>
          <w:bCs/>
          <w:sz w:val="24"/>
          <w:szCs w:val="24"/>
        </w:rPr>
        <w:t>Pyetje të Shpeshta me Përgji</w:t>
      </w:r>
      <w:r w:rsidR="00AD5E3D" w:rsidRPr="00AD5E3D">
        <w:rPr>
          <w:b/>
          <w:bCs/>
          <w:sz w:val="24"/>
          <w:szCs w:val="24"/>
        </w:rPr>
        <w:t xml:space="preserve">gje </w:t>
      </w:r>
    </w:p>
    <w:p w:rsidR="00184BE3" w:rsidRDefault="00AD5E3D" w:rsidP="007327F4">
      <w:pPr>
        <w:jc w:val="center"/>
        <w:rPr>
          <w:b/>
          <w:bCs/>
          <w:sz w:val="24"/>
          <w:szCs w:val="24"/>
        </w:rPr>
      </w:pPr>
      <w:r w:rsidRPr="00AD5E3D">
        <w:rPr>
          <w:b/>
          <w:bCs/>
          <w:sz w:val="24"/>
          <w:szCs w:val="24"/>
        </w:rPr>
        <w:t>Skema e Granteve për Inovacion</w:t>
      </w:r>
    </w:p>
    <w:p w:rsidR="00D02AFB" w:rsidRPr="00684EF4" w:rsidRDefault="00D02AFB" w:rsidP="00D02AFB">
      <w:pPr>
        <w:pStyle w:val="ListParagraph"/>
        <w:numPr>
          <w:ilvl w:val="0"/>
          <w:numId w:val="9"/>
        </w:numPr>
        <w:rPr>
          <w:b/>
          <w:bCs/>
        </w:rPr>
      </w:pPr>
      <w:bookmarkStart w:id="0" w:name="_Hlk180759651"/>
      <w:r w:rsidRPr="00684EF4">
        <w:rPr>
          <w:b/>
          <w:bCs/>
        </w:rPr>
        <w:t>Sa janë të rrepta kriteret administrative? A ka ndonjë fleksibilitet në kërkesat e dokumentit apo datë të regjsitrimit të biznesit?</w:t>
      </w:r>
    </w:p>
    <w:p w:rsidR="00D02AFB" w:rsidRPr="00684EF4" w:rsidRDefault="00D02AFB" w:rsidP="00D02AFB">
      <w:r w:rsidRPr="00684EF4">
        <w:t>Kriteret administrative janë të rrepta dhe në asnjë rrethanë nuk  mund të anashkalohen, pa asnjë fleksibilitet. Ju rekomandojmë që t’i rishikoni me kujdes të gjitha kriterët në mënyrë që ato të jenë në përputhje të plotë. Nëse biz</w:t>
      </w:r>
      <w:r w:rsidR="00684EF4" w:rsidRPr="00684EF4">
        <w:t>n</w:t>
      </w:r>
      <w:r w:rsidRPr="00684EF4">
        <w:t>esi juaj është regjistruar pas 29 shkurt 2024, ju nuk keni të drejtë të aplikoni.</w:t>
      </w:r>
    </w:p>
    <w:p w:rsidR="00D02AFB" w:rsidRPr="00684EF4" w:rsidRDefault="00D02AFB" w:rsidP="00D02AFB">
      <w:pPr>
        <w:pStyle w:val="ListParagraph"/>
        <w:numPr>
          <w:ilvl w:val="0"/>
          <w:numId w:val="9"/>
        </w:numPr>
        <w:rPr>
          <w:b/>
          <w:bCs/>
        </w:rPr>
      </w:pPr>
      <w:r w:rsidRPr="00684EF4">
        <w:rPr>
          <w:b/>
          <w:bCs/>
        </w:rPr>
        <w:t xml:space="preserve">A kam të drejtë për të aplikuar nëse se fundmi kam marrë një grant tjetër?  </w:t>
      </w:r>
    </w:p>
    <w:p w:rsidR="00D02AFB" w:rsidRPr="00684EF4" w:rsidRDefault="00D02AFB" w:rsidP="00D02AFB">
      <w:r w:rsidRPr="00684EF4">
        <w:t>Marrja e grantit nga donatorë tjerë, përfshirë këtu edhe donatorë publikë, nuk paraqet ndonjë problem. Megjithatë, ju nuk keni të drejtë nëse keni marrë një grant nga KIESA në dy vitet e fundit, keni detyrime të papaguara ndaj ndonjë institucioni financues publik në Kosovë, ose keni arritur kufirin e ndihmës shtetërore.</w:t>
      </w:r>
    </w:p>
    <w:p w:rsidR="00D02AFB" w:rsidRPr="00684EF4" w:rsidRDefault="00D02AFB" w:rsidP="00D02AFB">
      <w:pPr>
        <w:pStyle w:val="ListParagraph"/>
        <w:numPr>
          <w:ilvl w:val="0"/>
          <w:numId w:val="9"/>
        </w:numPr>
        <w:rPr>
          <w:b/>
          <w:bCs/>
        </w:rPr>
      </w:pPr>
      <w:r w:rsidRPr="00684EF4">
        <w:rPr>
          <w:b/>
          <w:bCs/>
        </w:rPr>
        <w:t>A kanë të drejtë aplikimi të gjitha bizneset nga të gjithë sektorët?</w:t>
      </w:r>
    </w:p>
    <w:p w:rsidR="00D02AFB" w:rsidRPr="00684EF4" w:rsidRDefault="00D02AFB" w:rsidP="00D02AFB">
      <w:r w:rsidRPr="00684EF4">
        <w:t>Po, bizneset nga të gjithë sektorët me veprimtari primare dhe sekondare në prodhim, përpunim dhe shërbime kanë të drejtë, me përjashtim të atyre të fokusuar në tregti.</w:t>
      </w:r>
    </w:p>
    <w:p w:rsidR="00D02AFB" w:rsidRPr="00684EF4" w:rsidRDefault="00D02AFB" w:rsidP="00D02AFB">
      <w:pPr>
        <w:pStyle w:val="ListParagraph"/>
        <w:numPr>
          <w:ilvl w:val="0"/>
          <w:numId w:val="9"/>
        </w:numPr>
        <w:rPr>
          <w:b/>
          <w:bCs/>
        </w:rPr>
      </w:pPr>
      <w:r w:rsidRPr="00684EF4">
        <w:rPr>
          <w:b/>
          <w:bCs/>
        </w:rPr>
        <w:t>A mund të dorëzojë aplikacionin në gjuhë tjera përpos Shqipes?</w:t>
      </w:r>
    </w:p>
    <w:p w:rsidR="00D02AFB" w:rsidRPr="00684EF4" w:rsidRDefault="00D02AFB" w:rsidP="00D02AFB">
      <w:r w:rsidRPr="00684EF4">
        <w:t>Po, aplikacionet mund të dorëzohen në gjuhën shqipe, serbe, ose angleze.</w:t>
      </w:r>
    </w:p>
    <w:p w:rsidR="00D02AFB" w:rsidRPr="00684EF4" w:rsidRDefault="00D02AFB" w:rsidP="00D02AFB">
      <w:pPr>
        <w:pStyle w:val="ListParagraph"/>
        <w:numPr>
          <w:ilvl w:val="0"/>
          <w:numId w:val="9"/>
        </w:numPr>
        <w:rPr>
          <w:b/>
          <w:bCs/>
        </w:rPr>
      </w:pPr>
      <w:r w:rsidRPr="00684EF4">
        <w:rPr>
          <w:b/>
          <w:bCs/>
        </w:rPr>
        <w:t>A i mbulon ky grant bizneset nga të gjitha rajonet e Kosovës?</w:t>
      </w:r>
    </w:p>
    <w:p w:rsidR="00D02AFB" w:rsidRPr="00684EF4" w:rsidRDefault="00D02AFB" w:rsidP="00D02AFB">
      <w:r w:rsidRPr="00684EF4">
        <w:t>Po, granti është në dispozicion të të gjitha biznesëve nga të githa rajonet dhe komunat e Kosovës, përderisa biznesi është i regjistruar në Kosovë.</w:t>
      </w:r>
    </w:p>
    <w:p w:rsidR="00D02AFB" w:rsidRPr="00684EF4" w:rsidRDefault="00D02AFB" w:rsidP="00D02AFB">
      <w:pPr>
        <w:pStyle w:val="ListParagraph"/>
        <w:numPr>
          <w:ilvl w:val="0"/>
          <w:numId w:val="9"/>
        </w:numPr>
        <w:rPr>
          <w:b/>
          <w:bCs/>
        </w:rPr>
      </w:pPr>
      <w:r w:rsidRPr="00684EF4">
        <w:rPr>
          <w:b/>
          <w:bCs/>
        </w:rPr>
        <w:t>A mund të aplikoj për një projekt që është jashtë sektorit primar dhe sekondar të regjistruar të kompanisë sime?</w:t>
      </w:r>
    </w:p>
    <w:p w:rsidR="00D02AFB" w:rsidRPr="00684EF4" w:rsidRDefault="00D02AFB" w:rsidP="00D02AFB">
      <w:r w:rsidRPr="00684EF4">
        <w:t xml:space="preserve">Sipas paragrafit 5.3 Sqarime shtesë </w:t>
      </w:r>
      <w:r w:rsidR="007C0488">
        <w:t>t</w:t>
      </w:r>
      <w:r w:rsidR="00583647">
        <w:t>ë</w:t>
      </w:r>
      <w:r w:rsidRPr="00684EF4">
        <w:t xml:space="preserve"> Udhëz</w:t>
      </w:r>
      <w:r w:rsidR="00583647">
        <w:t xml:space="preserve">uesit </w:t>
      </w:r>
      <w:r w:rsidRPr="00684EF4">
        <w:t xml:space="preserve">për Skemën e Granteve të Inovacionit, kodet e aktivitetit primar dhe sekondar duhet të jenë të lidhura me thirrjen përpara datës së hapjes së Skemës së Granteve të Inovacionit (8 tetor 2024). Në rast se propozimi </w:t>
      </w:r>
      <w:r w:rsidR="005E126F">
        <w:t>per</w:t>
      </w:r>
      <w:r w:rsidRPr="00684EF4">
        <w:t xml:space="preserve">zgjidhet </w:t>
      </w:r>
      <w:r w:rsidR="005E126F">
        <w:t xml:space="preserve">nga komisioni vleresues, </w:t>
      </w:r>
      <w:r w:rsidRPr="00684EF4">
        <w:t xml:space="preserve">dhe ka nevojë për të shtuar një kod tjetër aktiviteti, është e mundur të përshtatet më tej kodi i aktivitetit me Projektin e </w:t>
      </w:r>
      <w:r w:rsidR="005E126F">
        <w:t>aprovuar</w:t>
      </w:r>
      <w:r w:rsidRPr="00684EF4">
        <w:t xml:space="preserve"> të Inovacionit. </w:t>
      </w:r>
    </w:p>
    <w:p w:rsidR="00D02AFB" w:rsidRPr="00684EF4" w:rsidRDefault="00D02AFB" w:rsidP="00D02AFB">
      <w:pPr>
        <w:pStyle w:val="ListParagraph"/>
        <w:numPr>
          <w:ilvl w:val="0"/>
          <w:numId w:val="9"/>
        </w:numPr>
        <w:rPr>
          <w:b/>
          <w:bCs/>
        </w:rPr>
      </w:pPr>
      <w:r w:rsidRPr="00684EF4">
        <w:rPr>
          <w:b/>
          <w:bCs/>
        </w:rPr>
        <w:t>A mund të aplikoj njëkohësisht për dy grant skema të ndryshme të KIESA?</w:t>
      </w:r>
    </w:p>
    <w:p w:rsidR="00D02AFB" w:rsidRDefault="00D02AFB" w:rsidP="00D02AFB">
      <w:r w:rsidRPr="00684EF4">
        <w:t>Po, munde</w:t>
      </w:r>
      <w:r w:rsidR="00BE64FF">
        <w:t>ni</w:t>
      </w:r>
      <w:r w:rsidRPr="00684EF4">
        <w:t>. Megjithatë, nuk mund të merrni fonde prej dy ose më shumë grant skemave brenda dy viteve të fundit nga KIESA.</w:t>
      </w:r>
    </w:p>
    <w:p w:rsidR="002D2BE1" w:rsidRDefault="002D2BE1" w:rsidP="00D02AFB"/>
    <w:p w:rsidR="002D2BE1" w:rsidRDefault="002D2BE1" w:rsidP="00D02AFB"/>
    <w:p w:rsidR="00F519FF" w:rsidRDefault="00F519FF" w:rsidP="00D02AFB"/>
    <w:p w:rsidR="00BE64FF" w:rsidRDefault="00BE64FF" w:rsidP="00D02AFB"/>
    <w:p w:rsidR="00BE64FF" w:rsidRPr="00684EF4" w:rsidRDefault="00BE64FF" w:rsidP="00D02AFB"/>
    <w:p w:rsidR="00D02AFB" w:rsidRPr="00684EF4" w:rsidRDefault="00D02AFB" w:rsidP="00D02AFB">
      <w:pPr>
        <w:pStyle w:val="ListParagraph"/>
        <w:numPr>
          <w:ilvl w:val="0"/>
          <w:numId w:val="9"/>
        </w:numPr>
        <w:rPr>
          <w:b/>
          <w:bCs/>
        </w:rPr>
      </w:pPr>
      <w:r w:rsidRPr="00684EF4">
        <w:rPr>
          <w:b/>
          <w:bCs/>
        </w:rPr>
        <w:t>A mund të aplikoj me dy biznese të ndryshme ose nëse jam aksioner në dy kompani të ndryshme?</w:t>
      </w:r>
    </w:p>
    <w:p w:rsidR="00D02AFB" w:rsidRPr="00684EF4" w:rsidRDefault="00D02AFB" w:rsidP="00D02AFB">
      <w:r w:rsidRPr="00684EF4">
        <w:t>Po, përderisa të dy kompanitë janë pjesë e projekt propozimit inovativ dhe do ta zbatojnë atë.</w:t>
      </w:r>
    </w:p>
    <w:p w:rsidR="00D02AFB" w:rsidRPr="00684EF4" w:rsidRDefault="00D02AFB" w:rsidP="00D02AFB">
      <w:pPr>
        <w:pStyle w:val="ListParagraph"/>
        <w:numPr>
          <w:ilvl w:val="0"/>
          <w:numId w:val="9"/>
        </w:numPr>
        <w:rPr>
          <w:b/>
          <w:bCs/>
        </w:rPr>
      </w:pPr>
      <w:r w:rsidRPr="00684EF4">
        <w:rPr>
          <w:b/>
          <w:bCs/>
        </w:rPr>
        <w:t>Nëse kam një biznes të suksesshëm me qarkullim të lartë dhe shumë punonjës, por është më pak se 5 vjeç, a mund të aplikoj për Lotin 1 (NMVM), apo kam të drejtë vetëm për Lotin 2 (Start-ups)?</w:t>
      </w:r>
    </w:p>
    <w:p w:rsidR="00D02AFB" w:rsidRPr="00684EF4" w:rsidRDefault="00D02AFB" w:rsidP="00D02AFB">
      <w:r w:rsidRPr="00684EF4">
        <w:t>Nëse biznesi juaj është regjistruar në ose pas datës 1 janar 2019, ai konsiderohet një startup për qëllimet e kësaj skeme të grantit. Nëse është regjistruar para kësaj date, klasifikohet si NMVM. Ju lutemi referojuni udhëzimeve (</w:t>
      </w:r>
      <w:hyperlink r:id="rId10" w:history="1">
        <w:r w:rsidRPr="00684EF4">
          <w:rPr>
            <w:rStyle w:val="Hyperlink"/>
          </w:rPr>
          <w:t>LINK</w:t>
        </w:r>
      </w:hyperlink>
      <w:r w:rsidRPr="00684EF4">
        <w:t>) për detaje të mëtejshme.</w:t>
      </w:r>
    </w:p>
    <w:p w:rsidR="00D02AFB" w:rsidRPr="00684EF4" w:rsidRDefault="00D02AFB" w:rsidP="00D02AFB">
      <w:pPr>
        <w:pStyle w:val="ListParagraph"/>
        <w:numPr>
          <w:ilvl w:val="0"/>
          <w:numId w:val="9"/>
        </w:numPr>
        <w:rPr>
          <w:b/>
          <w:bCs/>
        </w:rPr>
      </w:pPr>
      <w:r w:rsidRPr="00684EF4">
        <w:rPr>
          <w:b/>
          <w:bCs/>
        </w:rPr>
        <w:t>Së fundi,biznesi im iu nënshtrua riorganizimit (nga një biznes individual në një SH.P.K), por është themeluar për më shumë se pesë vjet. A kualifikohem ende për Lotin 1 (NMVM)?</w:t>
      </w:r>
    </w:p>
    <w:p w:rsidR="00D02AFB" w:rsidRPr="00684EF4" w:rsidRDefault="00D02AFB" w:rsidP="00D02AFB">
      <w:r w:rsidRPr="00684EF4">
        <w:t>Nëse biznesi nuk ka ndryshuar emrin, fokusin sektorial ose statusin ligjor—vetëm llojin e pronësisë—atëherë ai ende konsiderohet njëjti. Data origjinale e themelimit do të përcaktojë nëse biznesi juaj klasifikohet si NMVM apo startup.</w:t>
      </w:r>
    </w:p>
    <w:p w:rsidR="00D02AFB" w:rsidRPr="00684EF4" w:rsidRDefault="00D02AFB" w:rsidP="00D02AFB">
      <w:pPr>
        <w:pStyle w:val="ListParagraph"/>
        <w:numPr>
          <w:ilvl w:val="0"/>
          <w:numId w:val="9"/>
        </w:numPr>
        <w:rPr>
          <w:b/>
          <w:bCs/>
        </w:rPr>
      </w:pPr>
      <w:r w:rsidRPr="00684EF4">
        <w:rPr>
          <w:b/>
          <w:bCs/>
        </w:rPr>
        <w:t>A mund të aplikoj në emër të një biznesi tjetër?</w:t>
      </w:r>
    </w:p>
    <w:p w:rsidR="00D02AFB" w:rsidRPr="00684EF4" w:rsidRDefault="00D02AFB" w:rsidP="00D02AFB">
      <w:r w:rsidRPr="00684EF4">
        <w:t>Jo, biznesi aplikues duhet të jetë përfituesi i drejtpërdrejtë i grantit.</w:t>
      </w:r>
    </w:p>
    <w:p w:rsidR="00D02AFB" w:rsidRPr="00684EF4" w:rsidRDefault="00D02AFB" w:rsidP="00D02AFB">
      <w:pPr>
        <w:pStyle w:val="ListParagraph"/>
        <w:numPr>
          <w:ilvl w:val="0"/>
          <w:numId w:val="9"/>
        </w:numPr>
        <w:rPr>
          <w:b/>
          <w:bCs/>
        </w:rPr>
      </w:pPr>
      <w:r w:rsidRPr="00684EF4">
        <w:rPr>
          <w:b/>
          <w:bCs/>
        </w:rPr>
        <w:t xml:space="preserve">A mund të regjistroj startup-in vetëm pasi të marrë grantin? </w:t>
      </w:r>
    </w:p>
    <w:p w:rsidR="00D02AFB" w:rsidRPr="00684EF4" w:rsidRDefault="00D02AFB" w:rsidP="00D02AFB">
      <w:r w:rsidRPr="00684EF4">
        <w:t>Jo, vetëm biznesët e regjistruara para datës 29 shkurt 2024 kanë të drejtë aplikimi.</w:t>
      </w:r>
    </w:p>
    <w:p w:rsidR="00D02AFB" w:rsidRPr="00684EF4" w:rsidRDefault="00D02AFB" w:rsidP="00D02AFB">
      <w:pPr>
        <w:pStyle w:val="ListParagraph"/>
        <w:numPr>
          <w:ilvl w:val="0"/>
          <w:numId w:val="9"/>
        </w:numPr>
        <w:rPr>
          <w:b/>
          <w:bCs/>
        </w:rPr>
      </w:pPr>
      <w:r w:rsidRPr="00684EF4">
        <w:rPr>
          <w:b/>
          <w:bCs/>
        </w:rPr>
        <w:t>Mendoj se një minutë është shumë shkurt për videon e kërkuar. Ku mund të ngarkohët, dhe a duhet të jetë publik?</w:t>
      </w:r>
    </w:p>
    <w:p w:rsidR="00D02AFB" w:rsidRPr="00684EF4" w:rsidRDefault="00D02AFB" w:rsidP="00D02AFB">
      <w:r w:rsidRPr="00684EF4">
        <w:t>Videoja shërben si një “elevator pitch” që prezanton shkurtimisht pikat kyçe të projekt propozimit tuaj. Nuk ka nevojë të jetë publik, por duhet të jetë i aksesueshëm në një format standard. Për më shumë detaje, ju lutemi referojuni Shtojcës 2 (</w:t>
      </w:r>
      <w:hyperlink r:id="rId11" w:history="1">
        <w:r w:rsidRPr="00684EF4">
          <w:rPr>
            <w:rStyle w:val="Hyperlink"/>
          </w:rPr>
          <w:t>LINK</w:t>
        </w:r>
      </w:hyperlink>
      <w:r w:rsidRPr="00684EF4">
        <w:t>) të udhëzimeve.</w:t>
      </w:r>
    </w:p>
    <w:p w:rsidR="00D02AFB" w:rsidRPr="00684EF4" w:rsidRDefault="00D02AFB" w:rsidP="00D02AFB">
      <w:pPr>
        <w:pStyle w:val="ListParagraph"/>
        <w:numPr>
          <w:ilvl w:val="0"/>
          <w:numId w:val="9"/>
        </w:numPr>
        <w:rPr>
          <w:b/>
          <w:bCs/>
        </w:rPr>
      </w:pPr>
      <w:r w:rsidRPr="00684EF4">
        <w:rPr>
          <w:b/>
          <w:bCs/>
        </w:rPr>
        <w:t>A mund të përfshij stafin që punon jashtë Kosovës si pjesë e ekipit tim të projektit?</w:t>
      </w:r>
    </w:p>
    <w:p w:rsidR="00D02AFB" w:rsidRPr="00684EF4" w:rsidRDefault="00D02AFB" w:rsidP="00D02AFB">
      <w:r w:rsidRPr="00684EF4">
        <w:t>Po, lejohën dhe duhet të përcaktohët qartë roli dhe kontributi i tyre në zbatimin e projektit.</w:t>
      </w:r>
    </w:p>
    <w:p w:rsidR="00D02AFB" w:rsidRPr="00684EF4" w:rsidRDefault="00D02AFB" w:rsidP="00D02AFB">
      <w:pPr>
        <w:pStyle w:val="ListParagraph"/>
        <w:numPr>
          <w:ilvl w:val="0"/>
          <w:numId w:val="9"/>
        </w:numPr>
        <w:rPr>
          <w:b/>
          <w:bCs/>
        </w:rPr>
      </w:pPr>
      <w:r w:rsidRPr="00684EF4">
        <w:rPr>
          <w:b/>
          <w:bCs/>
        </w:rPr>
        <w:t>A është kufiri i sipërm i përmendur në udhëzime, shuma maksimale e grantit, apo buxheti total i projekt propozimit?</w:t>
      </w:r>
    </w:p>
    <w:p w:rsidR="00D02AFB" w:rsidRDefault="00D02AFB" w:rsidP="00D02AFB">
      <w:r w:rsidRPr="00684EF4">
        <w:t>Kufiri i sipërm i referohet shumës maksimale të grantit. Nuk ka asnjë kufizim në koston totale të projektit, i cili përfshin kontributin tuaj.</w:t>
      </w:r>
    </w:p>
    <w:p w:rsidR="00D02AFB" w:rsidRPr="00684EF4" w:rsidRDefault="00D02AFB" w:rsidP="00D02AFB">
      <w:pPr>
        <w:pStyle w:val="ListParagraph"/>
        <w:numPr>
          <w:ilvl w:val="0"/>
          <w:numId w:val="9"/>
        </w:numPr>
        <w:rPr>
          <w:b/>
          <w:bCs/>
        </w:rPr>
      </w:pPr>
      <w:r w:rsidRPr="00684EF4">
        <w:rPr>
          <w:b/>
          <w:bCs/>
        </w:rPr>
        <w:t>Cilat janë shpenzimet e pranueshme që mbulohen nga ky grant?</w:t>
      </w:r>
    </w:p>
    <w:p w:rsidR="00D02AFB" w:rsidRDefault="00D02AFB" w:rsidP="00D02AFB">
      <w:r w:rsidRPr="00684EF4">
        <w:t>Ju lutemi referojuni paragrafit 7 të udhëzimeve (</w:t>
      </w:r>
      <w:hyperlink r:id="rId12" w:history="1">
        <w:r w:rsidRPr="00684EF4">
          <w:rPr>
            <w:rStyle w:val="Hyperlink"/>
          </w:rPr>
          <w:t>LINK</w:t>
        </w:r>
      </w:hyperlink>
      <w:r w:rsidRPr="00684EF4">
        <w:t>). Vetëm shpenzimet e listuara aty, brenda përqindjeve të specifikuara, janë të pranueshme për mbulim granti.</w:t>
      </w:r>
    </w:p>
    <w:p w:rsidR="002D2BE1" w:rsidRDefault="002D2BE1" w:rsidP="00D02AFB"/>
    <w:p w:rsidR="006015CA" w:rsidRPr="00684EF4" w:rsidRDefault="006015CA" w:rsidP="00D02AFB"/>
    <w:p w:rsidR="00D02AFB" w:rsidRPr="00684EF4" w:rsidRDefault="00D02AFB" w:rsidP="00D02AFB">
      <w:pPr>
        <w:pStyle w:val="ListParagraph"/>
        <w:numPr>
          <w:ilvl w:val="0"/>
          <w:numId w:val="9"/>
        </w:numPr>
        <w:rPr>
          <w:b/>
          <w:bCs/>
        </w:rPr>
      </w:pPr>
      <w:r w:rsidRPr="00684EF4">
        <w:rPr>
          <w:b/>
          <w:bCs/>
        </w:rPr>
        <w:t>Ku e tregoj përqindjen e kontributit tim në buxhetin e përgjithshëm të projektit?</w:t>
      </w:r>
    </w:p>
    <w:p w:rsidR="00D02AFB" w:rsidRPr="00684EF4" w:rsidRDefault="00D02AFB" w:rsidP="00D02AFB">
      <w:r w:rsidRPr="00684EF4">
        <w:t xml:space="preserve">Në paragrafin 2.3.2 Buxheti, të formularit të aplikimit për projektin, ka një hapësirë </w:t>
      </w:r>
      <w:r w:rsidRPr="00684EF4">
        <w:rPr>
          <w:rFonts w:ascii="Arial" w:hAnsi="Arial" w:cs="Arial"/>
        </w:rPr>
        <w:t>​​</w:t>
      </w:r>
      <w:r w:rsidRPr="00684EF4">
        <w:t>t</w:t>
      </w:r>
      <w:r w:rsidRPr="00684EF4">
        <w:rPr>
          <w:rFonts w:ascii="Aptos" w:hAnsi="Aptos" w:cs="Aptos"/>
        </w:rPr>
        <w:t>ë</w:t>
      </w:r>
      <w:r w:rsidRPr="00684EF4">
        <w:t xml:space="preserve"> dedikuar p</w:t>
      </w:r>
      <w:r w:rsidRPr="00684EF4">
        <w:rPr>
          <w:rFonts w:ascii="Aptos" w:hAnsi="Aptos" w:cs="Aptos"/>
        </w:rPr>
        <w:t>ë</w:t>
      </w:r>
      <w:r w:rsidRPr="00684EF4">
        <w:t>r shum</w:t>
      </w:r>
      <w:r w:rsidRPr="00684EF4">
        <w:rPr>
          <w:rFonts w:ascii="Aptos" w:hAnsi="Aptos" w:cs="Aptos"/>
        </w:rPr>
        <w:t>ë</w:t>
      </w:r>
      <w:r w:rsidRPr="00684EF4">
        <w:t>n e ndarjes s</w:t>
      </w:r>
      <w:r w:rsidRPr="00684EF4">
        <w:rPr>
          <w:rFonts w:ascii="Aptos" w:hAnsi="Aptos" w:cs="Aptos"/>
        </w:rPr>
        <w:t>ë</w:t>
      </w:r>
      <w:r w:rsidRPr="00684EF4">
        <w:t xml:space="preserve"> kostos s</w:t>
      </w:r>
      <w:r w:rsidRPr="00684EF4">
        <w:rPr>
          <w:rFonts w:ascii="Aptos" w:hAnsi="Aptos" w:cs="Aptos"/>
        </w:rPr>
        <w:t>ë</w:t>
      </w:r>
      <w:r w:rsidRPr="00684EF4">
        <w:t xml:space="preserve"> aplikantit t</w:t>
      </w:r>
      <w:r w:rsidRPr="00684EF4">
        <w:rPr>
          <w:rFonts w:ascii="Aptos" w:hAnsi="Aptos" w:cs="Aptos"/>
        </w:rPr>
        <w:t>ë</w:t>
      </w:r>
      <w:r w:rsidRPr="00684EF4">
        <w:t xml:space="preserve"> shprehur n</w:t>
      </w:r>
      <w:r w:rsidRPr="00684EF4">
        <w:rPr>
          <w:rFonts w:ascii="Aptos" w:hAnsi="Aptos" w:cs="Aptos"/>
        </w:rPr>
        <w:t>ë</w:t>
      </w:r>
      <w:r w:rsidRPr="00684EF4">
        <w:t xml:space="preserve"> shum</w:t>
      </w:r>
      <w:r w:rsidRPr="00684EF4">
        <w:rPr>
          <w:rFonts w:ascii="Aptos" w:hAnsi="Aptos" w:cs="Aptos"/>
        </w:rPr>
        <w:t>ë</w:t>
      </w:r>
      <w:r w:rsidRPr="00684EF4">
        <w:t>n dhe p</w:t>
      </w:r>
      <w:r w:rsidRPr="00684EF4">
        <w:rPr>
          <w:rFonts w:ascii="Aptos" w:hAnsi="Aptos" w:cs="Aptos"/>
        </w:rPr>
        <w:t>ë</w:t>
      </w:r>
      <w:r w:rsidRPr="00684EF4">
        <w:t>rqindjen totale.</w:t>
      </w:r>
    </w:p>
    <w:p w:rsidR="00D02AFB" w:rsidRPr="00684EF4" w:rsidRDefault="00D02AFB" w:rsidP="00D02AFB">
      <w:pPr>
        <w:pStyle w:val="ListParagraph"/>
        <w:numPr>
          <w:ilvl w:val="0"/>
          <w:numId w:val="9"/>
        </w:numPr>
        <w:rPr>
          <w:b/>
          <w:bCs/>
        </w:rPr>
      </w:pPr>
      <w:r w:rsidRPr="00684EF4">
        <w:rPr>
          <w:b/>
          <w:bCs/>
        </w:rPr>
        <w:t>A mund ta përdor shumën e plotë të grantit për të blerë pajisje, duke mbuluar vetë koston e mbetur?</w:t>
      </w:r>
    </w:p>
    <w:p w:rsidR="00D02AFB" w:rsidRPr="00684EF4" w:rsidRDefault="00D02AFB" w:rsidP="00D02AFB">
      <w:r w:rsidRPr="00684EF4">
        <w:t>Jo, granti mund të përdoret vetëm për shpenzimet e specifikuara në kapitullin e kostos së pranueshme të udhëzimeve (</w:t>
      </w:r>
      <w:hyperlink r:id="rId13" w:history="1">
        <w:r w:rsidRPr="00684EF4">
          <w:rPr>
            <w:rStyle w:val="Hyperlink"/>
          </w:rPr>
          <w:t>LINK</w:t>
        </w:r>
      </w:hyperlink>
      <w:r w:rsidRPr="00684EF4">
        <w:t>), Kapitulli 7.</w:t>
      </w:r>
    </w:p>
    <w:p w:rsidR="00D02AFB" w:rsidRPr="00684EF4" w:rsidRDefault="00D02AFB" w:rsidP="00D02AFB">
      <w:pPr>
        <w:pStyle w:val="ListParagraph"/>
        <w:numPr>
          <w:ilvl w:val="0"/>
          <w:numId w:val="9"/>
        </w:numPr>
        <w:rPr>
          <w:b/>
          <w:bCs/>
        </w:rPr>
      </w:pPr>
      <w:r w:rsidRPr="00684EF4">
        <w:rPr>
          <w:b/>
          <w:bCs/>
        </w:rPr>
        <w:t>A duhet të përfshihën oferta dhe kontrata në aplikacion, apo këto mund të dorëzohën më vonë?</w:t>
      </w:r>
    </w:p>
    <w:p w:rsidR="00D02AFB" w:rsidRPr="00684EF4" w:rsidRDefault="00D02AFB" w:rsidP="00D02AFB">
      <w:r w:rsidRPr="00684EF4">
        <w:t>Ju vetëm duhet të dorëzoni dokumentet e kërkuara dhe një parashikim buxheti gjatë procesit të aplikimit. Nëse zgjidhesh si përfitues, do t'ju duhet të ofroni oferta përkatëse përpara nënshkrimit të kontratës për të arysetuar shpenzimet e parashikuara.</w:t>
      </w:r>
    </w:p>
    <w:p w:rsidR="00D02AFB" w:rsidRPr="00684EF4" w:rsidRDefault="00D02AFB" w:rsidP="00D02AFB">
      <w:pPr>
        <w:pStyle w:val="ListParagraph"/>
        <w:numPr>
          <w:ilvl w:val="0"/>
          <w:numId w:val="9"/>
        </w:numPr>
        <w:rPr>
          <w:b/>
          <w:bCs/>
        </w:rPr>
      </w:pPr>
      <w:r w:rsidRPr="00684EF4">
        <w:rPr>
          <w:b/>
          <w:bCs/>
        </w:rPr>
        <w:t>A duhet të jap detaje specifike të artikujve që planifikoj të blej në formularin e aplikimit?</w:t>
      </w:r>
    </w:p>
    <w:p w:rsidR="00D02AFB" w:rsidRPr="00684EF4" w:rsidRDefault="00D02AFB" w:rsidP="00D02AFB">
      <w:r w:rsidRPr="00684EF4">
        <w:t xml:space="preserve">Po, të paktën detajet bazë (p.sh. një makinë CNC, modeli xxx, kostoja e vlerësuar e xxxx).  </w:t>
      </w:r>
    </w:p>
    <w:p w:rsidR="00D02AFB" w:rsidRPr="00684EF4" w:rsidRDefault="00D02AFB" w:rsidP="00D02AFB">
      <w:pPr>
        <w:pStyle w:val="ListParagraph"/>
        <w:numPr>
          <w:ilvl w:val="0"/>
          <w:numId w:val="9"/>
        </w:numPr>
        <w:rPr>
          <w:b/>
          <w:bCs/>
        </w:rPr>
      </w:pPr>
      <w:r w:rsidRPr="00684EF4">
        <w:rPr>
          <w:b/>
          <w:bCs/>
        </w:rPr>
        <w:t>Si mund ta anashkaloj kufirin prej 5 MB gjatë ngarkimit të dokumenteve dhe a mund t'i zëvendësoj dokumentet pas dorëzimit?</w:t>
      </w:r>
    </w:p>
    <w:p w:rsidR="00D02AFB" w:rsidRPr="00684EF4" w:rsidRDefault="00D02AFB" w:rsidP="00D02AFB">
      <w:r w:rsidRPr="00684EF4">
        <w:t>Ju nuk mund ta anashkaloni kufirin. Ju rekomandojmë kompresimin e dokumenteve përpara se t’i ngarkoni. Pasi të dorëzohen, dokumentet nuk mund të zëvendësohen.</w:t>
      </w:r>
    </w:p>
    <w:p w:rsidR="00D02AFB" w:rsidRPr="00684EF4" w:rsidRDefault="00D02AFB" w:rsidP="00D02AFB">
      <w:pPr>
        <w:pStyle w:val="ListParagraph"/>
        <w:numPr>
          <w:ilvl w:val="0"/>
          <w:numId w:val="9"/>
        </w:numPr>
        <w:rPr>
          <w:b/>
          <w:bCs/>
        </w:rPr>
      </w:pPr>
      <w:r w:rsidRPr="00684EF4">
        <w:rPr>
          <w:b/>
          <w:bCs/>
        </w:rPr>
        <w:t>Si mund të dorëzoj dokumente të shumta të të njëjtit lloj kur ekziston vetëm një vend i ngarkimit?</w:t>
      </w:r>
    </w:p>
    <w:p w:rsidR="00D02AFB" w:rsidRPr="00684EF4" w:rsidRDefault="00D02AFB" w:rsidP="00D02AFB">
      <w:r w:rsidRPr="00684EF4">
        <w:t>Nëse dokumentet janë të së njëjtës natyrë, kombinoni ato në një dosjë të vetme në PDF përpara se t'i ngarkoni.</w:t>
      </w:r>
    </w:p>
    <w:p w:rsidR="00D02AFB" w:rsidRPr="00684EF4" w:rsidRDefault="00D02AFB" w:rsidP="00D02AFB">
      <w:pPr>
        <w:pStyle w:val="ListParagraph"/>
        <w:numPr>
          <w:ilvl w:val="0"/>
          <w:numId w:val="9"/>
        </w:numPr>
        <w:rPr>
          <w:b/>
          <w:bCs/>
        </w:rPr>
      </w:pPr>
      <w:r w:rsidRPr="00684EF4">
        <w:rPr>
          <w:b/>
          <w:bCs/>
        </w:rPr>
        <w:t>A ka KIESA ekspertë të veçantë për të vlerësuar çdo projekt nga çdo sektor?</w:t>
      </w:r>
    </w:p>
    <w:p w:rsidR="00D02AFB" w:rsidRDefault="00D02AFB" w:rsidP="00D02AFB">
      <w:r w:rsidRPr="00684EF4">
        <w:t>Jo, komisioni i vlerësimit nuk ka ekspertë të veçantë për sektor. Megjithatë, komisioni do të përfshijë ekspertë të inovacionit të cilët do të vlerësojnë ndikimin e mundshëm të projektit në biznesin tuaj. Për më shumë detaje, referojuni Kapitullit 14 të udhëzimeve (</w:t>
      </w:r>
      <w:hyperlink r:id="rId14" w:history="1">
        <w:r w:rsidRPr="00684EF4">
          <w:rPr>
            <w:rStyle w:val="Hyperlink"/>
          </w:rPr>
          <w:t>LINK</w:t>
        </w:r>
      </w:hyperlink>
      <w:r w:rsidRPr="00684EF4">
        <w:t>).</w:t>
      </w:r>
    </w:p>
    <w:p w:rsidR="00D02AFB" w:rsidRPr="00684EF4" w:rsidRDefault="00D02AFB" w:rsidP="00D02AFB">
      <w:pPr>
        <w:pStyle w:val="ListParagraph"/>
        <w:numPr>
          <w:ilvl w:val="0"/>
          <w:numId w:val="9"/>
        </w:numPr>
        <w:rPr>
          <w:b/>
          <w:bCs/>
        </w:rPr>
      </w:pPr>
      <w:r w:rsidRPr="00684EF4">
        <w:rPr>
          <w:b/>
          <w:bCs/>
        </w:rPr>
        <w:t>Si siguroni që propozimi im i projektit të mbetet konfidencial?</w:t>
      </w:r>
    </w:p>
    <w:p w:rsidR="00D02AFB" w:rsidRPr="00684EF4" w:rsidRDefault="00D02AFB" w:rsidP="00D02AFB">
      <w:r w:rsidRPr="00684EF4">
        <w:t>Ne e marrim seriozisht konfidencialitetin. Të gjithë anëtarët e komisionit vlerësues janë të detyruar me betimin e konfidencialitetit dhe sistemi e-Kosova funksionon sipas ligjeve të Kosovës për mbrojtjen e të dhënave. Përveç të dhënave të përgjithshme si emri i biznesit, aktivitetet, pronarët dhe buxheti i përgjithshëm, të gjitha informacionet e tjera, duke përfshirë përmbajtjen e propozimit të projektit, mbahen konfidenciale.</w:t>
      </w:r>
    </w:p>
    <w:bookmarkEnd w:id="0"/>
    <w:p w:rsidR="00C8016D" w:rsidRPr="00684EF4" w:rsidRDefault="00C8016D" w:rsidP="00D02AFB"/>
    <w:sectPr w:rsidR="00C8016D" w:rsidRPr="00684EF4" w:rsidSect="00495CEA">
      <w:headerReference w:type="default" r:id="rId15"/>
      <w:footerReference w:type="default" r:id="rId16"/>
      <w:pgSz w:w="12240" w:h="15840"/>
      <w:pgMar w:top="1440" w:right="1440" w:bottom="1276" w:left="1440" w:header="68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EFD" w:rsidRPr="00684EF4" w:rsidRDefault="00A61EFD">
      <w:pPr>
        <w:spacing w:after="0" w:line="240" w:lineRule="auto"/>
      </w:pPr>
      <w:r w:rsidRPr="00684EF4">
        <w:separator/>
      </w:r>
    </w:p>
  </w:endnote>
  <w:endnote w:type="continuationSeparator" w:id="1">
    <w:p w:rsidR="00A61EFD" w:rsidRPr="00684EF4" w:rsidRDefault="00A61EFD">
      <w:pPr>
        <w:spacing w:after="0" w:line="240" w:lineRule="auto"/>
      </w:pPr>
      <w:r w:rsidRPr="00684EF4">
        <w:continuationSeparator/>
      </w:r>
    </w:p>
  </w:endnote>
  <w:endnote w:type="continuationNotice" w:id="2">
    <w:p w:rsidR="00A61EFD" w:rsidRPr="00684EF4" w:rsidRDefault="00A61EFD">
      <w:pPr>
        <w:spacing w:after="0" w:line="240" w:lineRule="auto"/>
      </w:pP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1A088B0" w:rsidRPr="00684EF4" w:rsidTr="01A088B0">
      <w:trPr>
        <w:trHeight w:val="300"/>
      </w:trPr>
      <w:tc>
        <w:tcPr>
          <w:tcW w:w="3120" w:type="dxa"/>
        </w:tcPr>
        <w:p w:rsidR="01A088B0" w:rsidRPr="00684EF4" w:rsidRDefault="01A088B0" w:rsidP="01A088B0">
          <w:pPr>
            <w:pStyle w:val="Header"/>
            <w:ind w:left="-115"/>
          </w:pPr>
        </w:p>
      </w:tc>
      <w:tc>
        <w:tcPr>
          <w:tcW w:w="3120" w:type="dxa"/>
        </w:tcPr>
        <w:p w:rsidR="01A088B0" w:rsidRPr="00684EF4" w:rsidRDefault="01A088B0" w:rsidP="01A088B0">
          <w:pPr>
            <w:pStyle w:val="Header"/>
            <w:jc w:val="center"/>
          </w:pPr>
        </w:p>
      </w:tc>
      <w:tc>
        <w:tcPr>
          <w:tcW w:w="3120" w:type="dxa"/>
        </w:tcPr>
        <w:p w:rsidR="01A088B0" w:rsidRPr="00684EF4" w:rsidRDefault="01A088B0" w:rsidP="01A088B0">
          <w:pPr>
            <w:pStyle w:val="Header"/>
            <w:ind w:right="-115"/>
            <w:jc w:val="right"/>
          </w:pPr>
        </w:p>
      </w:tc>
    </w:tr>
  </w:tbl>
  <w:p w:rsidR="01A088B0" w:rsidRPr="00684EF4" w:rsidRDefault="01A088B0" w:rsidP="01A08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EFD" w:rsidRPr="00684EF4" w:rsidRDefault="00A61EFD">
      <w:pPr>
        <w:spacing w:after="0" w:line="240" w:lineRule="auto"/>
      </w:pPr>
      <w:r w:rsidRPr="00684EF4">
        <w:separator/>
      </w:r>
    </w:p>
  </w:footnote>
  <w:footnote w:type="continuationSeparator" w:id="1">
    <w:p w:rsidR="00A61EFD" w:rsidRPr="00684EF4" w:rsidRDefault="00A61EFD">
      <w:pPr>
        <w:spacing w:after="0" w:line="240" w:lineRule="auto"/>
      </w:pPr>
      <w:r w:rsidRPr="00684EF4">
        <w:continuationSeparator/>
      </w:r>
    </w:p>
  </w:footnote>
  <w:footnote w:type="continuationNotice" w:id="2">
    <w:p w:rsidR="00A61EFD" w:rsidRPr="00684EF4" w:rsidRDefault="00A61EF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1A088B0" w:rsidRPr="00684EF4" w:rsidTr="01A088B0">
      <w:trPr>
        <w:trHeight w:val="300"/>
      </w:trPr>
      <w:tc>
        <w:tcPr>
          <w:tcW w:w="3120" w:type="dxa"/>
        </w:tcPr>
        <w:p w:rsidR="01A088B0" w:rsidRPr="00684EF4" w:rsidRDefault="01A088B0" w:rsidP="00CE32C3">
          <w:pPr>
            <w:pStyle w:val="Header"/>
            <w:ind w:left="-115"/>
            <w:jc w:val="center"/>
          </w:pPr>
        </w:p>
      </w:tc>
      <w:tc>
        <w:tcPr>
          <w:tcW w:w="3120" w:type="dxa"/>
        </w:tcPr>
        <w:p w:rsidR="01A088B0" w:rsidRPr="00684EF4" w:rsidRDefault="00CE32C3" w:rsidP="01A088B0">
          <w:pPr>
            <w:pStyle w:val="Header"/>
            <w:jc w:val="center"/>
          </w:pPr>
          <w:r w:rsidRPr="00684EF4">
            <w:rPr>
              <w:noProof/>
              <w:lang w:val="en-US"/>
            </w:rPr>
            <w:drawing>
              <wp:anchor distT="36576" distB="36576" distL="36576" distR="36576" simplePos="0" relativeHeight="251657216" behindDoc="0" locked="0" layoutInCell="1" allowOverlap="1">
                <wp:simplePos x="0" y="0"/>
                <wp:positionH relativeFrom="column">
                  <wp:align>left</wp:align>
                </wp:positionH>
                <wp:positionV relativeFrom="page">
                  <wp:align>top</wp:align>
                </wp:positionV>
                <wp:extent cx="1566000" cy="306000"/>
                <wp:effectExtent l="0" t="0" r="0" b="0"/>
                <wp:wrapNone/>
                <wp:docPr id="13136016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6000" cy="306000"/>
                        </a:xfrm>
                        <a:prstGeom prst="rect">
                          <a:avLst/>
                        </a:prstGeom>
                        <a:noFill/>
                        <a:ln>
                          <a:noFill/>
                        </a:ln>
                        <a:effectLst/>
                      </pic:spPr>
                    </pic:pic>
                  </a:graphicData>
                </a:graphic>
              </wp:anchor>
            </w:drawing>
          </w:r>
        </w:p>
      </w:tc>
      <w:tc>
        <w:tcPr>
          <w:tcW w:w="3120" w:type="dxa"/>
        </w:tcPr>
        <w:p w:rsidR="01A088B0" w:rsidRPr="00684EF4" w:rsidRDefault="00CE32C3" w:rsidP="01A088B0">
          <w:pPr>
            <w:pStyle w:val="Header"/>
            <w:ind w:right="-115"/>
            <w:jc w:val="right"/>
          </w:pPr>
          <w:r w:rsidRPr="00684EF4">
            <w:rPr>
              <w:noProof/>
              <w:lang w:val="en-US"/>
            </w:rPr>
            <w:drawing>
              <wp:anchor distT="36576" distB="36576" distL="36576" distR="36576" simplePos="0" relativeHeight="251681792" behindDoc="0" locked="0" layoutInCell="1" allowOverlap="1">
                <wp:simplePos x="0" y="0"/>
                <wp:positionH relativeFrom="column">
                  <wp:posOffset>899414</wp:posOffset>
                </wp:positionH>
                <wp:positionV relativeFrom="paragraph">
                  <wp:posOffset>-433274</wp:posOffset>
                </wp:positionV>
                <wp:extent cx="1396365" cy="895985"/>
                <wp:effectExtent l="0" t="0" r="0" b="0"/>
                <wp:wrapNone/>
                <wp:docPr id="10397485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6365" cy="895985"/>
                        </a:xfrm>
                        <a:prstGeom prst="rect">
                          <a:avLst/>
                        </a:prstGeom>
                        <a:noFill/>
                        <a:ln>
                          <a:noFill/>
                        </a:ln>
                        <a:effectLst/>
                      </pic:spPr>
                    </pic:pic>
                  </a:graphicData>
                </a:graphic>
              </wp:anchor>
            </w:drawing>
          </w:r>
        </w:p>
      </w:tc>
    </w:tr>
  </w:tbl>
  <w:p w:rsidR="01A088B0" w:rsidRPr="00684EF4" w:rsidRDefault="007855CF" w:rsidP="01A088B0">
    <w:pPr>
      <w:pStyle w:val="Header"/>
    </w:pPr>
    <w:r w:rsidRPr="007855CF">
      <w:pict>
        <v:shapetype id="_x0000_t202" coordsize="21600,21600" o:spt="202" path="m,l,21600r21600,l21600,xe">
          <v:stroke joinstyle="miter"/>
          <v:path gradientshapeok="t" o:connecttype="rect"/>
        </v:shapetype>
        <v:shape id="Text Box 5" o:spid="_x0000_s1026" type="#_x0000_t202" style="position:absolute;margin-left:-46.1pt;margin-top:1.4pt;width:196.4pt;height:49.55pt;z-index:251706368;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" filled="f" fillcolor="#5b9bd5" stroked="f" strokecolor="black [0]" strokeweight="2pt">
          <v:textbox inset="2.88pt,2.88pt,2.88pt,2.88pt">
            <w:txbxContent>
              <w:p w:rsidR="00CE32C3" w:rsidRPr="00684EF4" w:rsidRDefault="00CE32C3" w:rsidP="00CE32C3">
                <w:pPr>
                  <w:widowControl w:val="0"/>
                  <w:spacing w:after="0"/>
                  <w:rPr>
                    <w:b/>
                    <w:bCs/>
                    <w:sz w:val="14"/>
                    <w:szCs w:val="14"/>
                  </w:rPr>
                </w:pPr>
                <w:r w:rsidRPr="00684EF4">
                  <w:rPr>
                    <w:b/>
                    <w:bCs/>
                    <w:sz w:val="14"/>
                    <w:szCs w:val="14"/>
                  </w:rPr>
                  <w:t xml:space="preserve">Republika e Kosovës – Qeveria – Vlada – Government </w:t>
                </w:r>
              </w:p>
              <w:p w:rsidR="00CE32C3" w:rsidRPr="00684EF4" w:rsidRDefault="00CE32C3" w:rsidP="00CE32C3">
                <w:pPr>
                  <w:widowControl w:val="0"/>
                  <w:spacing w:after="0"/>
                  <w:rPr>
                    <w:i/>
                    <w:iCs/>
                    <w:sz w:val="14"/>
                    <w:szCs w:val="14"/>
                  </w:rPr>
                </w:pPr>
                <w:r w:rsidRPr="00684EF4">
                  <w:rPr>
                    <w:i/>
                    <w:iCs/>
                    <w:sz w:val="14"/>
                    <w:szCs w:val="14"/>
                  </w:rPr>
                  <w:t>Ministria e Industrisë, Ndërmarrësisë dhe Tregtisë</w:t>
                </w:r>
              </w:p>
              <w:p w:rsidR="00CE32C3" w:rsidRPr="00684EF4" w:rsidRDefault="00CE32C3" w:rsidP="00CE32C3">
                <w:pPr>
                  <w:widowControl w:val="0"/>
                  <w:spacing w:after="0"/>
                  <w:rPr>
                    <w:i/>
                    <w:iCs/>
                    <w:sz w:val="14"/>
                    <w:szCs w:val="14"/>
                  </w:rPr>
                </w:pPr>
                <w:r w:rsidRPr="00684EF4">
                  <w:rPr>
                    <w:i/>
                    <w:iCs/>
                    <w:sz w:val="14"/>
                    <w:szCs w:val="14"/>
                  </w:rPr>
                  <w:t>Ministarstvo Industrije, Preduzetnistva i Trgovine</w:t>
                </w:r>
              </w:p>
              <w:p w:rsidR="00CE32C3" w:rsidRPr="00684EF4" w:rsidRDefault="00CE32C3" w:rsidP="00CE32C3">
                <w:pPr>
                  <w:widowControl w:val="0"/>
                  <w:spacing w:after="0"/>
                  <w:rPr>
                    <w:i/>
                    <w:iCs/>
                    <w:sz w:val="14"/>
                    <w:szCs w:val="14"/>
                  </w:rPr>
                </w:pPr>
                <w:r w:rsidRPr="00684EF4">
                  <w:rPr>
                    <w:i/>
                    <w:iCs/>
                    <w:sz w:val="14"/>
                    <w:szCs w:val="14"/>
                  </w:rPr>
                  <w:t>Ministry of Industry,Entrepreneurship and Trade</w:t>
                </w:r>
              </w:p>
            </w:txbxContent>
          </v:textbox>
        </v:shape>
      </w:pict>
    </w:r>
    <w:r w:rsidR="00CE32C3" w:rsidRPr="00684EF4">
      <w:rPr>
        <w:noProof/>
        <w:lang w:val="en-US"/>
      </w:rPr>
      <w:drawing>
        <wp:anchor distT="36576" distB="36576" distL="36576" distR="36576" simplePos="0" relativeHeight="251632640" behindDoc="0" locked="0" layoutInCell="1" allowOverlap="1">
          <wp:simplePos x="0" y="0"/>
          <wp:positionH relativeFrom="column">
            <wp:posOffset>-183083</wp:posOffset>
          </wp:positionH>
          <wp:positionV relativeFrom="paragraph">
            <wp:posOffset>-547827</wp:posOffset>
          </wp:positionV>
          <wp:extent cx="578485" cy="583565"/>
          <wp:effectExtent l="0" t="0" r="0" b="6985"/>
          <wp:wrapNone/>
          <wp:docPr id="11580523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485" cy="583565"/>
                  </a:xfrm>
                  <a:prstGeom prst="rect">
                    <a:avLst/>
                  </a:prstGeom>
                  <a:noFill/>
                  <a:ln>
                    <a:noFill/>
                  </a:ln>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5A46"/>
    <w:multiLevelType w:val="multilevel"/>
    <w:tmpl w:val="0308A5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F5373"/>
    <w:multiLevelType w:val="hybridMultilevel"/>
    <w:tmpl w:val="44D4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215E0"/>
    <w:multiLevelType w:val="multilevel"/>
    <w:tmpl w:val="E17CD0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623D3"/>
    <w:multiLevelType w:val="multilevel"/>
    <w:tmpl w:val="062C21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C3A79"/>
    <w:multiLevelType w:val="multilevel"/>
    <w:tmpl w:val="FFC8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2D1970"/>
    <w:multiLevelType w:val="multilevel"/>
    <w:tmpl w:val="3CD2A8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3E10A1"/>
    <w:multiLevelType w:val="hybridMultilevel"/>
    <w:tmpl w:val="E58E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4964EC"/>
    <w:multiLevelType w:val="multilevel"/>
    <w:tmpl w:val="E1A4F5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21229C"/>
    <w:multiLevelType w:val="multilevel"/>
    <w:tmpl w:val="060666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7"/>
  </w:num>
  <w:num w:numId="5">
    <w:abstractNumId w:val="0"/>
  </w:num>
  <w:num w:numId="6">
    <w:abstractNumId w:val="8"/>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1"/>
    </o:shapelayout>
  </w:hdrShapeDefaults>
  <w:footnotePr>
    <w:footnote w:id="0"/>
    <w:footnote w:id="1"/>
    <w:footnote w:id="2"/>
  </w:footnotePr>
  <w:endnotePr>
    <w:endnote w:id="0"/>
    <w:endnote w:id="1"/>
    <w:endnote w:id="2"/>
  </w:endnotePr>
  <w:compat/>
  <w:rsids>
    <w:rsidRoot w:val="00DC7169"/>
    <w:rsid w:val="00025DA9"/>
    <w:rsid w:val="000F4EAD"/>
    <w:rsid w:val="00100362"/>
    <w:rsid w:val="0013600C"/>
    <w:rsid w:val="00184BE3"/>
    <w:rsid w:val="001E1D69"/>
    <w:rsid w:val="00210C68"/>
    <w:rsid w:val="00283516"/>
    <w:rsid w:val="0028708E"/>
    <w:rsid w:val="002D2BE1"/>
    <w:rsid w:val="002D761E"/>
    <w:rsid w:val="00367775"/>
    <w:rsid w:val="0040044E"/>
    <w:rsid w:val="004151C0"/>
    <w:rsid w:val="004531CC"/>
    <w:rsid w:val="00495CEA"/>
    <w:rsid w:val="005606A7"/>
    <w:rsid w:val="005746D0"/>
    <w:rsid w:val="00583647"/>
    <w:rsid w:val="005E126F"/>
    <w:rsid w:val="006015CA"/>
    <w:rsid w:val="006603DB"/>
    <w:rsid w:val="00684EF4"/>
    <w:rsid w:val="006D6374"/>
    <w:rsid w:val="007327F4"/>
    <w:rsid w:val="00771EC5"/>
    <w:rsid w:val="007855CF"/>
    <w:rsid w:val="007C0488"/>
    <w:rsid w:val="007D4794"/>
    <w:rsid w:val="008008EC"/>
    <w:rsid w:val="008D68B8"/>
    <w:rsid w:val="008F378D"/>
    <w:rsid w:val="00930299"/>
    <w:rsid w:val="009A061A"/>
    <w:rsid w:val="00A61EFD"/>
    <w:rsid w:val="00AB1085"/>
    <w:rsid w:val="00AB67F0"/>
    <w:rsid w:val="00AD5E3D"/>
    <w:rsid w:val="00B41BA4"/>
    <w:rsid w:val="00BE21F2"/>
    <w:rsid w:val="00BE64FF"/>
    <w:rsid w:val="00C0026F"/>
    <w:rsid w:val="00C10041"/>
    <w:rsid w:val="00C8016D"/>
    <w:rsid w:val="00CE32C3"/>
    <w:rsid w:val="00D02AFB"/>
    <w:rsid w:val="00D50E12"/>
    <w:rsid w:val="00DC7169"/>
    <w:rsid w:val="00DF52F9"/>
    <w:rsid w:val="00EA6080"/>
    <w:rsid w:val="00F40FE3"/>
    <w:rsid w:val="00F519FF"/>
    <w:rsid w:val="00F6416B"/>
    <w:rsid w:val="00FB029C"/>
    <w:rsid w:val="00FB2161"/>
    <w:rsid w:val="00FD117B"/>
    <w:rsid w:val="0141FC9F"/>
    <w:rsid w:val="01A088B0"/>
    <w:rsid w:val="01FB5985"/>
    <w:rsid w:val="02C1C037"/>
    <w:rsid w:val="05AF4B55"/>
    <w:rsid w:val="07E1A28E"/>
    <w:rsid w:val="0BBDD799"/>
    <w:rsid w:val="0ED16D8C"/>
    <w:rsid w:val="0EF2139C"/>
    <w:rsid w:val="1355E05C"/>
    <w:rsid w:val="16955450"/>
    <w:rsid w:val="18CCAA58"/>
    <w:rsid w:val="1A8F488F"/>
    <w:rsid w:val="1B06AAA3"/>
    <w:rsid w:val="1FBCFD7F"/>
    <w:rsid w:val="200FEFF8"/>
    <w:rsid w:val="235BFB37"/>
    <w:rsid w:val="263B6211"/>
    <w:rsid w:val="29DE03E0"/>
    <w:rsid w:val="2A8E305C"/>
    <w:rsid w:val="2B4F1150"/>
    <w:rsid w:val="2B9D4180"/>
    <w:rsid w:val="2D77E4B5"/>
    <w:rsid w:val="2FC774F1"/>
    <w:rsid w:val="30611BC7"/>
    <w:rsid w:val="331012A9"/>
    <w:rsid w:val="33D2B912"/>
    <w:rsid w:val="348DB997"/>
    <w:rsid w:val="385784FD"/>
    <w:rsid w:val="3A1AC43F"/>
    <w:rsid w:val="3D732B75"/>
    <w:rsid w:val="4006493E"/>
    <w:rsid w:val="402DD22A"/>
    <w:rsid w:val="488C6640"/>
    <w:rsid w:val="496DAFE0"/>
    <w:rsid w:val="4EED9204"/>
    <w:rsid w:val="4FB773D3"/>
    <w:rsid w:val="502EE721"/>
    <w:rsid w:val="50840152"/>
    <w:rsid w:val="50C389C0"/>
    <w:rsid w:val="52D16A4C"/>
    <w:rsid w:val="54E6938D"/>
    <w:rsid w:val="560F5D14"/>
    <w:rsid w:val="5817CC70"/>
    <w:rsid w:val="5904AD4A"/>
    <w:rsid w:val="5A52AD89"/>
    <w:rsid w:val="5CC4C923"/>
    <w:rsid w:val="5D0ED2F3"/>
    <w:rsid w:val="5E703ED5"/>
    <w:rsid w:val="5F37AC56"/>
    <w:rsid w:val="6444B858"/>
    <w:rsid w:val="67106AFC"/>
    <w:rsid w:val="695368D1"/>
    <w:rsid w:val="6ABCA93C"/>
    <w:rsid w:val="6C100038"/>
    <w:rsid w:val="72E2CF94"/>
    <w:rsid w:val="7AD7069D"/>
    <w:rsid w:val="7B168073"/>
    <w:rsid w:val="7D4398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FB"/>
    <w:rPr>
      <w:lang w:val="sq-AL"/>
    </w:rPr>
  </w:style>
  <w:style w:type="paragraph" w:styleId="Heading1">
    <w:name w:val="heading 1"/>
    <w:basedOn w:val="Normal"/>
    <w:next w:val="Normal"/>
    <w:link w:val="Heading1Char"/>
    <w:uiPriority w:val="9"/>
    <w:qFormat/>
    <w:rsid w:val="00DC7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169"/>
    <w:rPr>
      <w:rFonts w:eastAsiaTheme="majorEastAsia" w:cstheme="majorBidi"/>
      <w:color w:val="272727" w:themeColor="text1" w:themeTint="D8"/>
    </w:rPr>
  </w:style>
  <w:style w:type="paragraph" w:styleId="Title">
    <w:name w:val="Title"/>
    <w:basedOn w:val="Normal"/>
    <w:next w:val="Normal"/>
    <w:link w:val="TitleChar"/>
    <w:uiPriority w:val="10"/>
    <w:qFormat/>
    <w:rsid w:val="00DC7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169"/>
    <w:pPr>
      <w:spacing w:before="160"/>
      <w:jc w:val="center"/>
    </w:pPr>
    <w:rPr>
      <w:i/>
      <w:iCs/>
      <w:color w:val="404040" w:themeColor="text1" w:themeTint="BF"/>
    </w:rPr>
  </w:style>
  <w:style w:type="character" w:customStyle="1" w:styleId="QuoteChar">
    <w:name w:val="Quote Char"/>
    <w:basedOn w:val="DefaultParagraphFont"/>
    <w:link w:val="Quote"/>
    <w:uiPriority w:val="29"/>
    <w:rsid w:val="00DC7169"/>
    <w:rPr>
      <w:i/>
      <w:iCs/>
      <w:color w:val="404040" w:themeColor="text1" w:themeTint="BF"/>
    </w:rPr>
  </w:style>
  <w:style w:type="paragraph" w:styleId="ListParagraph">
    <w:name w:val="List Paragraph"/>
    <w:basedOn w:val="Normal"/>
    <w:uiPriority w:val="34"/>
    <w:qFormat/>
    <w:rsid w:val="00DC7169"/>
    <w:pPr>
      <w:ind w:left="720"/>
      <w:contextualSpacing/>
    </w:pPr>
  </w:style>
  <w:style w:type="character" w:styleId="IntenseEmphasis">
    <w:name w:val="Intense Emphasis"/>
    <w:basedOn w:val="DefaultParagraphFont"/>
    <w:uiPriority w:val="21"/>
    <w:qFormat/>
    <w:rsid w:val="00DC7169"/>
    <w:rPr>
      <w:i/>
      <w:iCs/>
      <w:color w:val="0F4761" w:themeColor="accent1" w:themeShade="BF"/>
    </w:rPr>
  </w:style>
  <w:style w:type="paragraph" w:styleId="IntenseQuote">
    <w:name w:val="Intense Quote"/>
    <w:basedOn w:val="Normal"/>
    <w:next w:val="Normal"/>
    <w:link w:val="IntenseQuoteChar"/>
    <w:uiPriority w:val="30"/>
    <w:qFormat/>
    <w:rsid w:val="00DC7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169"/>
    <w:rPr>
      <w:i/>
      <w:iCs/>
      <w:color w:val="0F4761" w:themeColor="accent1" w:themeShade="BF"/>
    </w:rPr>
  </w:style>
  <w:style w:type="character" w:styleId="IntenseReference">
    <w:name w:val="Intense Reference"/>
    <w:basedOn w:val="DefaultParagraphFont"/>
    <w:uiPriority w:val="32"/>
    <w:qFormat/>
    <w:rsid w:val="00DC7169"/>
    <w:rPr>
      <w:b/>
      <w:bCs/>
      <w:smallCaps/>
      <w:color w:val="0F4761" w:themeColor="accent1" w:themeShade="BF"/>
      <w:spacing w:val="5"/>
    </w:rPr>
  </w:style>
  <w:style w:type="character" w:styleId="Hyperlink">
    <w:name w:val="Hyperlink"/>
    <w:basedOn w:val="DefaultParagraphFont"/>
    <w:uiPriority w:val="99"/>
    <w:unhideWhenUsed/>
    <w:rsid w:val="00283516"/>
    <w:rPr>
      <w:color w:val="467886" w:themeColor="hyperlink"/>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83516"/>
  </w:style>
  <w:style w:type="paragraph" w:styleId="Header">
    <w:name w:val="header"/>
    <w:basedOn w:val="Normal"/>
    <w:link w:val="HeaderChar"/>
    <w:uiPriority w:val="99"/>
    <w:unhideWhenUsed/>
    <w:rsid w:val="00283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516"/>
  </w:style>
  <w:style w:type="paragraph" w:styleId="Footer">
    <w:name w:val="footer"/>
    <w:basedOn w:val="Normal"/>
    <w:link w:val="FooterChar"/>
    <w:uiPriority w:val="99"/>
    <w:unhideWhenUsed/>
    <w:rsid w:val="00283516"/>
    <w:pPr>
      <w:tabs>
        <w:tab w:val="center" w:pos="4680"/>
        <w:tab w:val="right" w:pos="9360"/>
      </w:tabs>
      <w:spacing w:after="0" w:line="240" w:lineRule="auto"/>
    </w:pPr>
  </w:style>
  <w:style w:type="character" w:customStyle="1" w:styleId="UnresolvedMention">
    <w:name w:val="Unresolved Mention"/>
    <w:basedOn w:val="DefaultParagraphFont"/>
    <w:uiPriority w:val="99"/>
    <w:semiHidden/>
    <w:unhideWhenUsed/>
    <w:rsid w:val="00025DA9"/>
    <w:rPr>
      <w:color w:val="605E5C"/>
      <w:shd w:val="clear" w:color="auto" w:fill="E1DFDD"/>
    </w:rPr>
  </w:style>
  <w:style w:type="character" w:styleId="FollowedHyperlink">
    <w:name w:val="FollowedHyperlink"/>
    <w:basedOn w:val="DefaultParagraphFont"/>
    <w:uiPriority w:val="99"/>
    <w:semiHidden/>
    <w:unhideWhenUsed/>
    <w:rsid w:val="0028708E"/>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divs>
    <w:div w:id="441729306">
      <w:bodyDiv w:val="1"/>
      <w:marLeft w:val="0"/>
      <w:marRight w:val="0"/>
      <w:marTop w:val="0"/>
      <w:marBottom w:val="0"/>
      <w:divBdr>
        <w:top w:val="none" w:sz="0" w:space="0" w:color="auto"/>
        <w:left w:val="none" w:sz="0" w:space="0" w:color="auto"/>
        <w:bottom w:val="none" w:sz="0" w:space="0" w:color="auto"/>
        <w:right w:val="none" w:sz="0" w:space="0" w:color="auto"/>
      </w:divBdr>
    </w:div>
    <w:div w:id="44920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esa.rks-gov.net/page.aspx?id=1,134,86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iesa.rks-gov.net/page.aspx?id=1,134,8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esa.rks-gov.net/page.aspx?id=1,134,86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kiesa.rks-gov.net/page.aspx?id=1,134,86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esa.rks-gov.net/page.aspx?id=1,134,86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260F045C9E64AA012AA1052AC3CA6" ma:contentTypeVersion="15" ma:contentTypeDescription="Create a new document." ma:contentTypeScope="" ma:versionID="28f7b5fe85ae9d50c9b8087b42179156">
  <xsd:schema xmlns:xsd="http://www.w3.org/2001/XMLSchema" xmlns:xs="http://www.w3.org/2001/XMLSchema" xmlns:p="http://schemas.microsoft.com/office/2006/metadata/properties" xmlns:ns2="9d47be23-f2b9-46c6-aa2c-85118ba12d8b" xmlns:ns3="d1a047ac-9b32-4866-a084-f0c20ba5ec78" targetNamespace="http://schemas.microsoft.com/office/2006/metadata/properties" ma:root="true" ma:fieldsID="c4d5c90262c18a054791409626f99806" ns2:_="" ns3:_="">
    <xsd:import namespace="9d47be23-f2b9-46c6-aa2c-85118ba12d8b"/>
    <xsd:import namespace="d1a047ac-9b32-4866-a084-f0c20ba5ec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7be23-f2b9-46c6-aa2c-85118ba12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9dc9c5-bb63-4748-b5fd-6f5e8d69b0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047ac-9b32-4866-a084-f0c20ba5ec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eff882-ad4f-4973-9806-4adf11ffc578}" ma:internalName="TaxCatchAll" ma:showField="CatchAllData" ma:web="d1a047ac-9b32-4866-a084-f0c20ba5e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a047ac-9b32-4866-a084-f0c20ba5ec78" xsi:nil="true"/>
    <lcf76f155ced4ddcb4097134ff3c332f xmlns="9d47be23-f2b9-46c6-aa2c-85118ba12d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E6FF9-88F7-4E3B-9298-EFD6566FB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7be23-f2b9-46c6-aa2c-85118ba12d8b"/>
    <ds:schemaRef ds:uri="d1a047ac-9b32-4866-a084-f0c20ba5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E1510-7394-429E-80F7-45D5ED4943B3}">
  <ds:schemaRefs>
    <ds:schemaRef ds:uri="http://schemas.microsoft.com/office/2006/metadata/properties"/>
    <ds:schemaRef ds:uri="http://schemas.microsoft.com/office/infopath/2007/PartnerControls"/>
    <ds:schemaRef ds:uri="d1a047ac-9b32-4866-a084-f0c20ba5ec78"/>
    <ds:schemaRef ds:uri="9d47be23-f2b9-46c6-aa2c-85118ba12d8b"/>
  </ds:schemaRefs>
</ds:datastoreItem>
</file>

<file path=customXml/itemProps3.xml><?xml version="1.0" encoding="utf-8"?>
<ds:datastoreItem xmlns:ds="http://schemas.openxmlformats.org/officeDocument/2006/customXml" ds:itemID="{199D216A-B515-4855-A810-C6524B9A348D}">
  <ds:schemaRefs>
    <ds:schemaRef ds:uri="http://schemas.microsoft.com/sharepoint/v3/contenttype/forms"/>
  </ds:schemaRefs>
</ds:datastoreItem>
</file>

<file path=docMetadata/LabelInfo.xml><?xml version="1.0" encoding="utf-8"?>
<clbl:labelList xmlns:clbl="http://schemas.microsoft.com/office/2020/mipLabelMetadata">
  <clbl:label id="{13a6395b-003a-4c6e-858f-67011765bc5b}" enabled="0" method="" siteId="{13a6395b-003a-4c6e-858f-67011765bc5b}"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Links>
    <vt:vector size="30" baseType="variant">
      <vt:variant>
        <vt:i4>1966150</vt:i4>
      </vt:variant>
      <vt:variant>
        <vt:i4>12</vt:i4>
      </vt:variant>
      <vt:variant>
        <vt:i4>0</vt:i4>
      </vt:variant>
      <vt:variant>
        <vt:i4>5</vt:i4>
      </vt:variant>
      <vt:variant>
        <vt:lpwstr>https://kiesa.rks-gov.net/page.aspx?id=1,134,864</vt:lpwstr>
      </vt:variant>
      <vt:variant>
        <vt:lpwstr/>
      </vt:variant>
      <vt:variant>
        <vt:i4>1966150</vt:i4>
      </vt:variant>
      <vt:variant>
        <vt:i4>9</vt:i4>
      </vt:variant>
      <vt:variant>
        <vt:i4>0</vt:i4>
      </vt:variant>
      <vt:variant>
        <vt:i4>5</vt:i4>
      </vt:variant>
      <vt:variant>
        <vt:lpwstr>https://kiesa.rks-gov.net/page.aspx?id=1,134,864</vt:lpwstr>
      </vt:variant>
      <vt:variant>
        <vt:lpwstr/>
      </vt:variant>
      <vt:variant>
        <vt:i4>1966150</vt:i4>
      </vt:variant>
      <vt:variant>
        <vt:i4>6</vt:i4>
      </vt:variant>
      <vt:variant>
        <vt:i4>0</vt:i4>
      </vt:variant>
      <vt:variant>
        <vt:i4>5</vt:i4>
      </vt:variant>
      <vt:variant>
        <vt:lpwstr>https://kiesa.rks-gov.net/page.aspx?id=1,134,864</vt:lpwstr>
      </vt:variant>
      <vt:variant>
        <vt:lpwstr/>
      </vt:variant>
      <vt:variant>
        <vt:i4>1966150</vt:i4>
      </vt:variant>
      <vt:variant>
        <vt:i4>3</vt:i4>
      </vt:variant>
      <vt:variant>
        <vt:i4>0</vt:i4>
      </vt:variant>
      <vt:variant>
        <vt:i4>5</vt:i4>
      </vt:variant>
      <vt:variant>
        <vt:lpwstr>https://kiesa.rks-gov.net/page.aspx?id=1,134,864</vt:lpwstr>
      </vt:variant>
      <vt:variant>
        <vt:lpwstr/>
      </vt:variant>
      <vt:variant>
        <vt:i4>1966150</vt:i4>
      </vt:variant>
      <vt:variant>
        <vt:i4>0</vt:i4>
      </vt:variant>
      <vt:variant>
        <vt:i4>0</vt:i4>
      </vt:variant>
      <vt:variant>
        <vt:i4>5</vt:i4>
      </vt:variant>
      <vt:variant>
        <vt:lpwstr>https://kiesa.rks-gov.net/page.aspx?id=1,134,864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 BERISHAJ</dc:creator>
  <cp:keywords/>
  <dc:description/>
  <cp:lastModifiedBy>Lirie Hasani-Halitaj</cp:lastModifiedBy>
  <cp:revision>15</cp:revision>
  <dcterms:created xsi:type="dcterms:W3CDTF">2024-10-25T12:59:00Z</dcterms:created>
  <dcterms:modified xsi:type="dcterms:W3CDTF">2024-10-25T15:31:00Z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0x0101008A9260F045C9E64AA012AA1052AC3CA6</vt:lpwstr>
  </property>
  <property fmtid="{D5CDD505-2E9C-101B-9397-08002B2CF9AE}" pid="3" name="MediaServiceImageTags">
    <vt:lpwstr/>
  </property>
</Properties>
</file>