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ED4B" w14:textId="2963C3B6" w:rsidR="00B06F77" w:rsidRPr="00F902E5" w:rsidRDefault="00B06F7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MS Mincho" w:hAnsi="Times New Roman" w:cs="Times New Roman"/>
          <w:b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61312" behindDoc="0" locked="0" layoutInCell="1" allowOverlap="1" wp14:anchorId="02059D08" wp14:editId="571E0E8E">
            <wp:simplePos x="0" y="0"/>
            <wp:positionH relativeFrom="column">
              <wp:posOffset>4895850</wp:posOffset>
            </wp:positionH>
            <wp:positionV relativeFrom="paragraph">
              <wp:posOffset>0</wp:posOffset>
            </wp:positionV>
            <wp:extent cx="1921510" cy="390525"/>
            <wp:effectExtent l="0" t="0" r="2540" b="9525"/>
            <wp:wrapThrough wrapText="bothSides">
              <wp:wrapPolygon edited="0">
                <wp:start x="2784" y="0"/>
                <wp:lineTo x="0" y="5268"/>
                <wp:lineTo x="0" y="17912"/>
                <wp:lineTo x="1927" y="21073"/>
                <wp:lineTo x="21414" y="21073"/>
                <wp:lineTo x="21414" y="18966"/>
                <wp:lineTo x="21200" y="16859"/>
                <wp:lineTo x="21200" y="11590"/>
                <wp:lineTo x="20558" y="0"/>
                <wp:lineTo x="278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IESA shqi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02E5">
        <w:rPr>
          <w:rFonts w:ascii="Times New Roman" w:eastAsia="MS Mincho" w:hAnsi="Times New Roman" w:cs="Times New Roman"/>
          <w:b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34C92D17" wp14:editId="3DA60C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794385"/>
            <wp:effectExtent l="0" t="0" r="0" b="5715"/>
            <wp:wrapThrough wrapText="bothSides">
              <wp:wrapPolygon edited="0">
                <wp:start x="3176" y="0"/>
                <wp:lineTo x="0" y="518"/>
                <wp:lineTo x="0" y="11914"/>
                <wp:lineTo x="1906" y="16576"/>
                <wp:lineTo x="7624" y="21237"/>
                <wp:lineTo x="8259" y="21237"/>
                <wp:lineTo x="12706" y="21237"/>
                <wp:lineTo x="13341" y="21237"/>
                <wp:lineTo x="19059" y="16576"/>
                <wp:lineTo x="20965" y="11914"/>
                <wp:lineTo x="20965" y="518"/>
                <wp:lineTo x="17788" y="0"/>
                <wp:lineTo x="317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00px-Coat_of_arms_of_Kosov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C3AD7" w14:textId="2389A5B9" w:rsidR="00B06F77" w:rsidRPr="00F902E5" w:rsidRDefault="00B06F7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3A17BB8" w14:textId="135624E8" w:rsidR="00B06F77" w:rsidRPr="00F902E5" w:rsidRDefault="00B06F7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EA579B" w14:textId="7A97D5B6" w:rsidR="00B06F77" w:rsidRPr="00F902E5" w:rsidRDefault="00B06F7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FFA9575" w14:textId="77777777" w:rsidR="00B06F77" w:rsidRPr="00F902E5" w:rsidRDefault="00B06F77" w:rsidP="00B06F77">
      <w:pPr>
        <w:tabs>
          <w:tab w:val="left" w:pos="-540"/>
          <w:tab w:val="center" w:pos="4905"/>
        </w:tabs>
        <w:spacing w:after="0" w:line="240" w:lineRule="auto"/>
        <w:ind w:left="-360" w:right="27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r-Latn-RS"/>
        </w:rPr>
      </w:pPr>
      <w:r w:rsidRPr="00F902E5">
        <w:rPr>
          <w:rFonts w:ascii="Times New Roman" w:eastAsia="MS Mincho" w:hAnsi="Times New Roman" w:cs="Times New Roman"/>
          <w:b/>
          <w:bCs/>
          <w:sz w:val="24"/>
          <w:szCs w:val="24"/>
          <w:lang w:val="sr-Latn-RS"/>
        </w:rPr>
        <w:t>Republika e Kosovës</w:t>
      </w:r>
    </w:p>
    <w:p w14:paraId="0B446F91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r-Latn-RS"/>
        </w:rPr>
      </w:pPr>
      <w:r w:rsidRPr="00F902E5">
        <w:rPr>
          <w:rFonts w:ascii="Times New Roman" w:eastAsia="Batang" w:hAnsi="Times New Roman" w:cs="Times New Roman"/>
          <w:b/>
          <w:bCs/>
          <w:sz w:val="24"/>
          <w:szCs w:val="24"/>
          <w:lang w:val="sr-Latn-RS"/>
        </w:rPr>
        <w:t xml:space="preserve">Republika Kosova - </w:t>
      </w:r>
      <w:r w:rsidRPr="00F902E5">
        <w:rPr>
          <w:rFonts w:ascii="Times New Roman" w:eastAsia="MS Mincho" w:hAnsi="Times New Roman" w:cs="Times New Roman"/>
          <w:b/>
          <w:bCs/>
          <w:sz w:val="24"/>
          <w:szCs w:val="24"/>
          <w:lang w:val="sr-Latn-RS"/>
        </w:rPr>
        <w:t>Republic of Kosovo</w:t>
      </w:r>
    </w:p>
    <w:p w14:paraId="5B78BAC8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F902E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r-Latn-RS"/>
        </w:rPr>
        <w:t>Qeveria –Vlada-Government</w:t>
      </w:r>
    </w:p>
    <w:p w14:paraId="41A271D5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F902E5">
        <w:rPr>
          <w:rFonts w:ascii="Times New Roman" w:eastAsia="MS Mincho" w:hAnsi="Times New Roman" w:cs="Times New Roman"/>
          <w:i/>
          <w:iCs/>
          <w:sz w:val="24"/>
          <w:szCs w:val="24"/>
          <w:lang w:val="sr-Latn-RS"/>
        </w:rPr>
        <w:t>Ministria e Tregtisë dhe Industrisë-Ministarstvo Trgovine i Industrije-Ministry of Trade and Industry</w:t>
      </w:r>
    </w:p>
    <w:p w14:paraId="0FF5D6CB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r-Latn-RS"/>
        </w:rPr>
      </w:pPr>
    </w:p>
    <w:p w14:paraId="653DD820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Agjencia për Investime dhe Përkrahjen e Ndërmarrjeve në Kosovë (KIESA)</w:t>
      </w:r>
    </w:p>
    <w:p w14:paraId="10992E2D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Agencija za Investicije i Podršku Preduzeča na Kosovu (KIESA)</w:t>
      </w:r>
    </w:p>
    <w:p w14:paraId="5F8D3310" w14:textId="77777777" w:rsidR="00B06F77" w:rsidRPr="00F902E5" w:rsidRDefault="00B06F77" w:rsidP="00B06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Kosovo Investment and Enterprise Support Agency (KIESA)</w:t>
      </w:r>
    </w:p>
    <w:p w14:paraId="5DC45FFD" w14:textId="5C09AE62" w:rsidR="00B06F77" w:rsidRPr="00F902E5" w:rsidRDefault="00B06F7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DEC045" w14:textId="1431BDF4" w:rsidR="009A078E" w:rsidRPr="00F902E5" w:rsidRDefault="00F902E5" w:rsidP="00B06F7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902E5">
        <w:rPr>
          <w:rFonts w:ascii="Times New Roman" w:hAnsi="Times New Roman" w:cs="Times New Roman"/>
          <w:b/>
          <w:sz w:val="24"/>
          <w:szCs w:val="24"/>
          <w:lang w:val="sr-Latn-RS"/>
        </w:rPr>
        <w:t>Projekat konkurentnosti i izvozne spremnosti</w:t>
      </w:r>
    </w:p>
    <w:p w14:paraId="61615F56" w14:textId="77777777" w:rsidR="006302B7" w:rsidRPr="00F902E5" w:rsidRDefault="006302B7" w:rsidP="00B06F7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BB5E84E" w14:textId="6AD196B9" w:rsidR="00B06F77" w:rsidRPr="00F902E5" w:rsidRDefault="00F902E5" w:rsidP="00B06F7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902E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Javni poziv za Program </w:t>
      </w:r>
      <w:r w:rsidR="000F064C">
        <w:rPr>
          <w:rFonts w:ascii="Times New Roman" w:hAnsi="Times New Roman" w:cs="Times New Roman"/>
          <w:b/>
          <w:sz w:val="24"/>
          <w:szCs w:val="24"/>
          <w:lang w:val="sr-Latn-RS"/>
        </w:rPr>
        <w:t>odgovarajućih</w:t>
      </w:r>
      <w:r w:rsidRPr="00F902E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grantova za sertifikaciju proizvoda, dobijanje standarda i BDS/usluga obuke</w:t>
      </w:r>
    </w:p>
    <w:p w14:paraId="63298522" w14:textId="57F00570" w:rsidR="007D4B33" w:rsidRPr="00F902E5" w:rsidRDefault="00F902E5" w:rsidP="007D4B3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Vlada Kosova je dobila finansijska sredstva </w:t>
      </w:r>
      <w:r w:rsidR="000F064C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 EUR Grupe Svetske banke za Projekat konkurentnosti i izvozne spremnosti (CERP). Podkomponenta 1.2 CERP-a - </w:t>
      </w:r>
      <w:r w:rsidRPr="00F902E5">
        <w:rPr>
          <w:rFonts w:ascii="Times New Roman" w:hAnsi="Times New Roman" w:cs="Times New Roman"/>
          <w:i/>
          <w:sz w:val="24"/>
          <w:szCs w:val="24"/>
          <w:lang w:val="sr-Latn-RS"/>
        </w:rPr>
        <w:t>Podrška preduzećima za poboljšanje kvaliteta proizvoda i izvozne spremnosti</w:t>
      </w:r>
      <w:r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 - uključuje finansiranje od 2,3 miliona evra za Program </w:t>
      </w:r>
      <w:r w:rsidR="000F064C">
        <w:rPr>
          <w:rFonts w:ascii="Times New Roman" w:hAnsi="Times New Roman" w:cs="Times New Roman"/>
          <w:sz w:val="24"/>
          <w:szCs w:val="24"/>
          <w:lang w:val="sr-Latn-RS"/>
        </w:rPr>
        <w:t>odgovarajućih</w:t>
      </w:r>
      <w:r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 grantova (MGP). MGP ima za cilj da podrži mala i srednja preduzeća (MSP) koja imaju izvozni potencijal (i) da ispune zahteve za primenu standarda i sertifikaciju proizvoda potrebnih za izvozna tržišta, (ii) da povećaju veštine spremnosti za izvoz i iii) dobiju pristup </w:t>
      </w:r>
      <w:r w:rsidR="000F064C">
        <w:rPr>
          <w:rFonts w:ascii="Times New Roman" w:hAnsi="Times New Roman" w:cs="Times New Roman"/>
          <w:sz w:val="24"/>
          <w:szCs w:val="24"/>
          <w:lang w:val="sr-Latn-RS"/>
        </w:rPr>
        <w:t>uslugama</w:t>
      </w:r>
      <w:r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 poslovnog razvoja (BDS</w:t>
      </w:r>
      <w:r w:rsidR="007D4B33" w:rsidRPr="00F902E5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11032FDA" w14:textId="765FAC44" w:rsidR="007D4B33" w:rsidRPr="00F902E5" w:rsidRDefault="00F902E5" w:rsidP="007D4B3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Kosovska agencija za investicije i podršku preduzećima (KIESA) u okviru Ministarstva za trgovinu i industriju (MTI) objavljuje javni poziv za Program </w:t>
      </w:r>
      <w:r w:rsidR="000F064C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odgovarajućih</w:t>
      </w: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grantova (MGP) u cilju pružanja podrške malim i srednjim preduzećima za sertifikaciju proizvoda u skladu sa međunarodnim standardima i obezbeđivanje istim pristup</w:t>
      </w:r>
      <w:r w:rsidR="000F064C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 „BDS“-u (u</w:t>
      </w:r>
      <w:r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slugama poslovnog razvoja) i uslugama savetovanja/obuke</w:t>
      </w:r>
      <w:r w:rsidR="00FF6D99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FCD9D53" w14:textId="26D3205C" w:rsidR="002F1E80" w:rsidRPr="00F902E5" w:rsidRDefault="00F902E5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Preduzeća će biti podržana u: dobijanju standarda, sertifikaciji proizvoda i dobijanju BDS i usluga savetovanja/obuke</w:t>
      </w:r>
      <w:r w:rsidR="002F1E80" w:rsidRPr="00F902E5">
        <w:rPr>
          <w:rFonts w:ascii="Times New Roman" w:eastAsia="Times New Roman" w:hAnsi="Times New Roman" w:cs="Times New Roman"/>
          <w:color w:val="1D2129"/>
          <w:sz w:val="24"/>
          <w:szCs w:val="24"/>
          <w:lang w:val="sr-Latn-RS"/>
        </w:rPr>
        <w:t>.</w:t>
      </w:r>
    </w:p>
    <w:p w14:paraId="48A48EA7" w14:textId="12172891" w:rsidR="00C5494A" w:rsidRPr="00F902E5" w:rsidRDefault="00F902E5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Procena prijave za dodelu Programa </w:t>
      </w:r>
      <w:r w:rsidR="000F064C">
        <w:rPr>
          <w:rFonts w:ascii="Times New Roman" w:eastAsia="MS Mincho" w:hAnsi="Times New Roman" w:cs="Times New Roman"/>
          <w:sz w:val="24"/>
          <w:szCs w:val="24"/>
          <w:lang w:val="sr-Latn-RS"/>
        </w:rPr>
        <w:t>odgovarajućih</w:t>
      </w:r>
      <w:r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grantova će biti izvršena u skladu sa Priručnikom za grantove Svetske banke </w:t>
      </w:r>
      <w:r w:rsidR="00997706"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>(GM)</w:t>
      </w:r>
      <w:r w:rsidR="002F1E80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DD1C81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72BBF314" w14:textId="2CFD74BD" w:rsidR="004F1163" w:rsidRPr="00F902E5" w:rsidRDefault="004F1163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2743F32" w14:textId="77777777" w:rsidR="006302B7" w:rsidRPr="00F902E5" w:rsidRDefault="006302B7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0F5A70D" w14:textId="3D215DC6" w:rsidR="004F1163" w:rsidRPr="00F902E5" w:rsidRDefault="00F902E5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Podnosioci prijava će morati da ispune sledeće kriterijume podobnosti za prijavu za Program odgovarajućih grantova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35DAA85C" w14:textId="77777777" w:rsidR="004F1163" w:rsidRPr="00F902E5" w:rsidRDefault="004F1163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58B990F" w14:textId="6C257384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Podnosilac prijave je poslovno pravno lice, inkorporisano u skladu sa važećim/aktuelnim kosovskim Zakonom o poslovnim organizacijama, registrovano u Kosovskoj agenciji za registraciju preduzeća (KBRA),sa sedištem na Kosovu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177B9F28" w14:textId="5B40EFE4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Pristup BDS prijavama poslovni</w:t>
      </w:r>
      <w:r w:rsid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m udruženjima registrovanim</w:t>
      </w: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u skladu sa važećim zakonima na Kosovu koji regulišu nevladine organizacije (NVO-ovi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);</w:t>
      </w:r>
    </w:p>
    <w:p w14:paraId="7C9578AD" w14:textId="563BE182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Podnosilac prijave je iz privatnog sektora MSP-ova (sa većinom privatnog vlasništva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);</w:t>
      </w:r>
    </w:p>
    <w:p w14:paraId="0D437911" w14:textId="7A3B8248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Podnosilac prijave radi na Kosovu najmanje dve godine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70882A29" w14:textId="152193D1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Podnosilac prijave je izvozni MSP ili ima izvozni potencijal, ili je iz izvozno orijentisanih industrija/sektora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32C64E72" w14:textId="4F00EAA6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Većina vlasništva podnosioca prijava se nalazi na Kosovu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7CBC4673" w14:textId="5CE590EE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Podnosilac prijave mora biti direktno odgovoran za sprovođenje </w:t>
      </w:r>
      <w:r w:rsid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p</w:t>
      </w: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rojekta, a ne delovati kao posrednik</w:t>
      </w:r>
      <w:r w:rsidR="004F116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5DE79E37" w14:textId="6DF5E4A2" w:rsidR="004F1163" w:rsidRPr="00F902E5" w:rsidRDefault="00F902E5" w:rsidP="00F902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Aktivnost podnosioca prijave/kompanije mora biti u skladu sa nacionalnim zakonodavstvom o životnoj sredini. Takođe podnosilac prijave treba spomenuti u predlogu projekta da njegova aktivnost nema negativan ut</w:t>
      </w:r>
      <w:r w:rsid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caj na životnu sredinu</w:t>
      </w:r>
      <w:r w:rsidR="00ED17D3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14:paraId="4C1BEECF" w14:textId="77777777" w:rsidR="004F1163" w:rsidRPr="00F902E5" w:rsidRDefault="004F1163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BED317" w14:textId="77777777" w:rsidR="004F1163" w:rsidRPr="00F902E5" w:rsidRDefault="004F1163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2D4744F" w14:textId="66E8D465" w:rsidR="00DD1C81" w:rsidRPr="00F902E5" w:rsidRDefault="00F902E5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Podnosioci prijave tokom procesa prijave su obavezni da podnesu predlog projekta (uključujući detaljni poslovni plan i budžet projekta) koristeći priložene obrasce. Zahtev mora sadržavati sledeće dokumente</w:t>
      </w:r>
      <w:r w:rsidR="00DD1C81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799452F1" w14:textId="4A3EEAE6" w:rsidR="00DD1C81" w:rsidRPr="00F902E5" w:rsidRDefault="00DD1C81" w:rsidP="00D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2960283" w14:textId="464E7C16" w:rsidR="00C5494A" w:rsidRPr="00F902E5" w:rsidRDefault="00F902E5" w:rsidP="00F902E5">
      <w:pPr>
        <w:pStyle w:val="ListParagraph"/>
        <w:numPr>
          <w:ilvl w:val="1"/>
          <w:numId w:val="6"/>
        </w:numPr>
        <w:spacing w:after="160"/>
        <w:ind w:right="26"/>
        <w:jc w:val="both"/>
        <w:rPr>
          <w:rFonts w:eastAsia="MS Mincho"/>
          <w:noProof w:val="0"/>
          <w:lang w:val="sr-Latn-RS"/>
        </w:rPr>
      </w:pPr>
      <w:r w:rsidRPr="00F902E5">
        <w:rPr>
          <w:lang w:val="sr-Latn-RS"/>
        </w:rPr>
        <w:t xml:space="preserve">Obrazac </w:t>
      </w:r>
      <w:r>
        <w:rPr>
          <w:lang w:val="sr-Latn-RS"/>
        </w:rPr>
        <w:t>prijave</w:t>
      </w:r>
      <w:r w:rsidRPr="00F902E5">
        <w:rPr>
          <w:lang w:val="sr-Latn-RS"/>
        </w:rPr>
        <w:t xml:space="preserve"> treba da se pošalje online </w:t>
      </w:r>
      <w:r w:rsidR="004817DD" w:rsidRPr="00F902E5">
        <w:rPr>
          <w:lang w:val="sr-Latn-RS"/>
        </w:rPr>
        <w:t>(</w:t>
      </w:r>
      <w:r>
        <w:rPr>
          <w:rFonts w:eastAsia="MS Mincho"/>
          <w:i/>
          <w:color w:val="0070C0"/>
          <w:lang w:val="sr-Latn-RS"/>
        </w:rPr>
        <w:t>online portal KIESA-e</w:t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>);</w:t>
      </w:r>
    </w:p>
    <w:p w14:paraId="47B5B515" w14:textId="261CA7AA" w:rsidR="004817DD" w:rsidRPr="00F902E5" w:rsidRDefault="00F902E5" w:rsidP="00F902E5">
      <w:pPr>
        <w:pStyle w:val="ListParagraph"/>
        <w:numPr>
          <w:ilvl w:val="1"/>
          <w:numId w:val="6"/>
        </w:numPr>
        <w:rPr>
          <w:rFonts w:eastAsia="MS Mincho"/>
          <w:noProof w:val="0"/>
          <w:lang w:val="sr-Latn-RS"/>
        </w:rPr>
      </w:pPr>
      <w:r w:rsidRPr="00F902E5">
        <w:rPr>
          <w:rFonts w:eastAsia="MS Mincho"/>
          <w:noProof w:val="0"/>
          <w:lang w:val="sr-Latn-RS"/>
        </w:rPr>
        <w:t>Predlog projekta uključuje: poslovni plan, svrhu, projektne aktivnosti, finansijske troškove, kao i raspored sprovođenja projekta i organizacionu strukturu podnosioca prijave</w:t>
      </w:r>
      <w:r w:rsidR="004817DD" w:rsidRPr="00F902E5">
        <w:rPr>
          <w:rFonts w:eastAsia="MS Mincho"/>
          <w:noProof w:val="0"/>
          <w:lang w:val="sr-Latn-RS"/>
        </w:rPr>
        <w:t>;</w:t>
      </w:r>
    </w:p>
    <w:p w14:paraId="0FEB2D57" w14:textId="048F5F30" w:rsidR="00C5494A" w:rsidRPr="00F902E5" w:rsidRDefault="00F902E5" w:rsidP="00F902E5">
      <w:pPr>
        <w:pStyle w:val="ListParagraph"/>
        <w:numPr>
          <w:ilvl w:val="1"/>
          <w:numId w:val="6"/>
        </w:numPr>
        <w:spacing w:after="160"/>
        <w:ind w:right="26"/>
        <w:jc w:val="both"/>
        <w:rPr>
          <w:rFonts w:eastAsia="MS Mincho"/>
          <w:noProof w:val="0"/>
          <w:lang w:val="sr-Latn-RS"/>
        </w:rPr>
      </w:pPr>
      <w:r w:rsidRPr="00F902E5">
        <w:rPr>
          <w:rFonts w:eastAsia="MS Mincho"/>
          <w:noProof w:val="0"/>
          <w:lang w:val="sr-Latn-RS"/>
        </w:rPr>
        <w:t>Izjava pod zakletvom, koja treba da sadrži izjavu da nisu primljena finansijska sredstva iz drugih izvora finansiranja za istu aktivnost ili, u slučaju da su primljena takva finansijska sredstva, izjavu da su sve obaveze iz prethodne finansijske podrške ispunjene, ako su ostvarene koristi iz javnih izvora MTI-a u poslednje dve godine (dokazano izjavom pod zakletvom</w:t>
      </w:r>
      <w:r w:rsidR="002B22DD" w:rsidRPr="00F902E5">
        <w:rPr>
          <w:rFonts w:eastAsia="MS Mincho"/>
          <w:noProof w:val="0"/>
          <w:lang w:val="sr-Latn-RS"/>
        </w:rPr>
        <w:t xml:space="preserve">) </w:t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>(</w:t>
      </w:r>
      <w:r w:rsidR="00AF4AF0">
        <w:rPr>
          <w:rFonts w:eastAsia="MS Mincho"/>
          <w:i/>
          <w:noProof w:val="0"/>
          <w:color w:val="0070C0"/>
          <w:lang w:val="sr-Latn-RS"/>
        </w:rPr>
        <w:t>preuzeti</w:t>
      </w:r>
      <w:r>
        <w:rPr>
          <w:rFonts w:eastAsia="MS Mincho"/>
          <w:i/>
          <w:noProof w:val="0"/>
          <w:color w:val="0070C0"/>
          <w:lang w:val="sr-Latn-RS"/>
        </w:rPr>
        <w:t xml:space="preserve"> sa</w:t>
      </w:r>
      <w:r w:rsidR="004A0705" w:rsidRPr="00F902E5">
        <w:rPr>
          <w:rFonts w:eastAsia="MS Mincho"/>
          <w:i/>
          <w:noProof w:val="0"/>
          <w:color w:val="0070C0"/>
          <w:lang w:val="sr-Latn-RS"/>
        </w:rPr>
        <w:t xml:space="preserve"> </w:t>
      </w:r>
      <w:r>
        <w:rPr>
          <w:rFonts w:eastAsia="MS Mincho"/>
          <w:i/>
          <w:noProof w:val="0"/>
          <w:color w:val="0070C0"/>
          <w:lang w:val="sr-Latn-RS"/>
        </w:rPr>
        <w:t>veb stranice</w:t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>)</w:t>
      </w:r>
      <w:r w:rsidR="002B22DD" w:rsidRPr="00F902E5">
        <w:rPr>
          <w:rFonts w:eastAsia="MS Mincho"/>
          <w:noProof w:val="0"/>
          <w:color w:val="000000" w:themeColor="text1"/>
          <w:lang w:val="sr-Latn-RS"/>
        </w:rPr>
        <w:t>.</w:t>
      </w:r>
    </w:p>
    <w:p w14:paraId="4C371C99" w14:textId="7E88F87E" w:rsidR="00C5494A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Potvrda o registraciji preduzeća sa svim pratećim informacijama u skladu sa zahtevima zakonodavstva na snazi u Republici Kosovo; Sertifikat o registraciji preduzeća je potreban u slučaju podnošenja prijave poslovnog udruženja</w:t>
      </w:r>
      <w:r w:rsidR="0024002F" w:rsidRPr="00F902E5">
        <w:rPr>
          <w:rFonts w:eastAsia="MS Mincho"/>
          <w:noProof w:val="0"/>
          <w:color w:val="000000" w:themeColor="text1"/>
          <w:lang w:val="sr-Latn-RS"/>
        </w:rPr>
        <w:t>.</w:t>
      </w:r>
    </w:p>
    <w:p w14:paraId="79510A0C" w14:textId="5B890300" w:rsidR="00C5494A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Potvrda o fiskalnom broju (ne odnosi se na preduzeća koja imaju i poslovni registars</w:t>
      </w:r>
      <w:r w:rsidR="000F064C">
        <w:rPr>
          <w:rFonts w:eastAsia="MS Mincho"/>
          <w:noProof w:val="0"/>
          <w:color w:val="000000" w:themeColor="text1"/>
          <w:lang w:val="sr-Latn-RS"/>
        </w:rPr>
        <w:t>ki broj i fiskalni broj na istoj potvrdi</w:t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>);</w:t>
      </w:r>
      <w:r w:rsidR="0024002F" w:rsidRPr="00F902E5">
        <w:rPr>
          <w:rFonts w:eastAsia="MS Mincho"/>
          <w:noProof w:val="0"/>
          <w:color w:val="000000" w:themeColor="text1"/>
          <w:lang w:val="sr-Latn-RS"/>
        </w:rPr>
        <w:t xml:space="preserve"> </w:t>
      </w:r>
    </w:p>
    <w:p w14:paraId="34FB60DA" w14:textId="34F8F2A1" w:rsidR="00C5494A" w:rsidRPr="00F902E5" w:rsidRDefault="00F902E5" w:rsidP="00F902E5">
      <w:pPr>
        <w:pStyle w:val="ListParagraph"/>
        <w:numPr>
          <w:ilvl w:val="1"/>
          <w:numId w:val="6"/>
        </w:numPr>
        <w:tabs>
          <w:tab w:val="left" w:pos="1080"/>
        </w:tabs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Poreska potvrda kojom se potvrđuje da podnosilac prijave nema neplaćeni poreski dug ili druge poreske obaveze, ili je zaključio ugovor o poravnanju dugova sa PUK-om; (ne stariji od 6 meseci</w:t>
      </w:r>
      <w:r w:rsidR="0024002F" w:rsidRPr="00F902E5">
        <w:rPr>
          <w:rFonts w:eastAsia="MS Mincho"/>
          <w:noProof w:val="0"/>
          <w:color w:val="000000" w:themeColor="text1"/>
          <w:lang w:val="sr-Latn-RS"/>
        </w:rPr>
        <w:t>).</w:t>
      </w:r>
    </w:p>
    <w:p w14:paraId="2ABF53A7" w14:textId="43C915F2" w:rsidR="00C5494A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Kopija lične karte lica na čije ime je podnosilac prijave registrovan</w:t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>;</w:t>
      </w:r>
    </w:p>
    <w:p w14:paraId="08F8F9F3" w14:textId="5B2F843F" w:rsidR="00C5494A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Dokaz da podnosilac zahteva nije pod stečajem ili pod nasilnom sudskom upravom, izdat od strane Osnovnog suda. Potrebna je originalna kopija koja nije starija od 30 dana</w:t>
      </w:r>
      <w:r w:rsidRPr="00F902E5">
        <w:rPr>
          <w:rStyle w:val="FootnoteReference"/>
          <w:rFonts w:eastAsia="MS Mincho"/>
          <w:noProof w:val="0"/>
          <w:color w:val="000000" w:themeColor="text1"/>
          <w:vertAlign w:val="baseline"/>
          <w:lang w:val="sr-Latn-RS"/>
        </w:rPr>
        <w:t xml:space="preserve"> </w:t>
      </w:r>
      <w:r w:rsidR="002B22DD" w:rsidRPr="00F902E5">
        <w:rPr>
          <w:rStyle w:val="FootnoteReference"/>
          <w:rFonts w:eastAsia="MS Mincho"/>
          <w:noProof w:val="0"/>
          <w:color w:val="000000" w:themeColor="text1"/>
          <w:lang w:val="sr-Latn-RS"/>
        </w:rPr>
        <w:footnoteReference w:id="1"/>
      </w:r>
    </w:p>
    <w:p w14:paraId="681B8DBB" w14:textId="151CB28C" w:rsidR="00C5494A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lastRenderedPageBreak/>
        <w:t>Dokaz o aktivnom bankovnom računu podnosioca prijave u jednoj od banaka licenciranih kod Centralne banke Kosova, kao i izveštaj iz banke za prethodnu godinu</w:t>
      </w:r>
      <w:r w:rsidRPr="00F902E5">
        <w:rPr>
          <w:rStyle w:val="FootnoteReference"/>
          <w:rFonts w:eastAsia="MS Mincho"/>
          <w:noProof w:val="0"/>
          <w:color w:val="000000" w:themeColor="text1"/>
          <w:vertAlign w:val="baseline"/>
          <w:lang w:val="sr-Latn-RS"/>
        </w:rPr>
        <w:t xml:space="preserve"> </w:t>
      </w:r>
      <w:r w:rsidR="0024002F" w:rsidRPr="00F902E5">
        <w:rPr>
          <w:rStyle w:val="FootnoteReference"/>
          <w:rFonts w:eastAsia="MS Mincho"/>
          <w:noProof w:val="0"/>
          <w:color w:val="000000" w:themeColor="text1"/>
          <w:lang w:val="sr-Latn-RS"/>
        </w:rPr>
        <w:footnoteReference w:id="2"/>
      </w:r>
      <w:r w:rsidR="00C5494A" w:rsidRPr="00F902E5">
        <w:rPr>
          <w:rFonts w:eastAsia="MS Mincho"/>
          <w:noProof w:val="0"/>
          <w:color w:val="000000" w:themeColor="text1"/>
          <w:lang w:val="sr-Latn-RS"/>
        </w:rPr>
        <w:t xml:space="preserve">. </w:t>
      </w:r>
    </w:p>
    <w:p w14:paraId="69B5C81C" w14:textId="4595BBA8" w:rsidR="00DD1C81" w:rsidRPr="00F902E5" w:rsidRDefault="00F902E5" w:rsidP="00F902E5">
      <w:pPr>
        <w:pStyle w:val="ListParagraph"/>
        <w:numPr>
          <w:ilvl w:val="1"/>
          <w:numId w:val="6"/>
        </w:numPr>
        <w:tabs>
          <w:tab w:val="left" w:pos="270"/>
        </w:tabs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Ovlašćenje koje dozvoljava Jedinici za upravljanje Grantom da izvrši sve provere i pregled informacija predstavljenih u prijavi</w:t>
      </w:r>
      <w:r w:rsidR="00DD1C81" w:rsidRPr="00F902E5">
        <w:rPr>
          <w:rFonts w:eastAsia="MS Mincho"/>
          <w:noProof w:val="0"/>
          <w:color w:val="000000" w:themeColor="text1"/>
          <w:lang w:val="sr-Latn-RS"/>
        </w:rPr>
        <w:t>;</w:t>
      </w:r>
    </w:p>
    <w:p w14:paraId="07B1D43C" w14:textId="26969BA8" w:rsidR="00DD1C81" w:rsidRPr="00F902E5" w:rsidRDefault="00F902E5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 w:rsidRPr="00F902E5">
        <w:rPr>
          <w:rFonts w:eastAsia="MS Mincho"/>
          <w:noProof w:val="0"/>
          <w:color w:val="000000" w:themeColor="text1"/>
          <w:lang w:val="sr-Latn-RS"/>
        </w:rPr>
        <w:t>CV ključnog osoblja koje će učestvovati u projektu (maksimalno tri</w:t>
      </w:r>
      <w:r w:rsidR="00DD1C81" w:rsidRPr="00F902E5">
        <w:rPr>
          <w:rFonts w:eastAsia="MS Mincho"/>
          <w:noProof w:val="0"/>
          <w:color w:val="000000" w:themeColor="text1"/>
          <w:lang w:val="sr-Latn-RS"/>
        </w:rPr>
        <w:t>).</w:t>
      </w:r>
    </w:p>
    <w:p w14:paraId="4C27B0A0" w14:textId="6310AD48" w:rsidR="00DD1C81" w:rsidRPr="00F902E5" w:rsidRDefault="000F064C" w:rsidP="00F902E5">
      <w:pPr>
        <w:pStyle w:val="ListParagraph"/>
        <w:numPr>
          <w:ilvl w:val="1"/>
          <w:numId w:val="6"/>
        </w:numPr>
        <w:ind w:right="26"/>
        <w:jc w:val="both"/>
        <w:rPr>
          <w:rFonts w:eastAsia="MS Mincho"/>
          <w:noProof w:val="0"/>
          <w:color w:val="000000" w:themeColor="text1"/>
          <w:lang w:val="sr-Latn-RS"/>
        </w:rPr>
      </w:pPr>
      <w:r>
        <w:rPr>
          <w:rFonts w:eastAsia="MS Mincho"/>
          <w:noProof w:val="0"/>
          <w:color w:val="000000" w:themeColor="text1"/>
          <w:lang w:val="sr-Latn-RS"/>
        </w:rPr>
        <w:t>Ako se ovlašć</w:t>
      </w:r>
      <w:r w:rsidR="00F902E5" w:rsidRPr="00F902E5">
        <w:rPr>
          <w:rFonts w:eastAsia="MS Mincho"/>
          <w:noProof w:val="0"/>
          <w:color w:val="000000" w:themeColor="text1"/>
          <w:lang w:val="sr-Latn-RS"/>
        </w:rPr>
        <w:t>ena osoba razlikuje</w:t>
      </w:r>
      <w:r>
        <w:rPr>
          <w:rFonts w:eastAsia="MS Mincho"/>
          <w:noProof w:val="0"/>
          <w:color w:val="000000" w:themeColor="text1"/>
          <w:lang w:val="sr-Latn-RS"/>
        </w:rPr>
        <w:t xml:space="preserve"> od vlasnika podnosioca prijave</w:t>
      </w:r>
      <w:r w:rsidR="00F902E5" w:rsidRPr="00F902E5">
        <w:rPr>
          <w:rFonts w:eastAsia="MS Mincho"/>
          <w:noProof w:val="0"/>
          <w:color w:val="000000" w:themeColor="text1"/>
          <w:lang w:val="sr-Latn-RS"/>
        </w:rPr>
        <w:t>, molimo priložite pismeno ovlašćenje</w:t>
      </w:r>
      <w:r w:rsidR="00DD1C81" w:rsidRPr="00F902E5">
        <w:rPr>
          <w:rFonts w:eastAsia="MS Mincho"/>
          <w:noProof w:val="0"/>
          <w:color w:val="000000" w:themeColor="text1"/>
          <w:lang w:val="sr-Latn-RS"/>
        </w:rPr>
        <w:t>;</w:t>
      </w:r>
    </w:p>
    <w:p w14:paraId="7AF9331A" w14:textId="77777777" w:rsidR="002B22DD" w:rsidRPr="00F902E5" w:rsidRDefault="002B22DD" w:rsidP="002B22DD">
      <w:pPr>
        <w:spacing w:line="276" w:lineRule="auto"/>
        <w:ind w:right="2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RS"/>
        </w:rPr>
      </w:pPr>
    </w:p>
    <w:p w14:paraId="6C1A995C" w14:textId="49B3A5E8" w:rsidR="009C3DDD" w:rsidRPr="00F902E5" w:rsidRDefault="000F064C" w:rsidP="002B22DD">
      <w:pPr>
        <w:spacing w:line="276" w:lineRule="auto"/>
        <w:ind w:right="2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RS"/>
        </w:rPr>
      </w:pPr>
      <w:r w:rsidRPr="000F064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RS"/>
        </w:rPr>
        <w:t>Imajte na umu da će u odsustvu bilo kojeg od gore navedenih dokumenata, podnosilac zahteva biti diskvalifikovan i neće se dalje razmatrati u pogledu određenih kriterijuma navedenih u nastavku</w:t>
      </w:r>
    </w:p>
    <w:p w14:paraId="62565FE4" w14:textId="03149CEE" w:rsidR="00C8077A" w:rsidRPr="00F902E5" w:rsidRDefault="000F064C" w:rsidP="009B6FCB">
      <w:pPr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Kriterijum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i</w:t>
      </w:r>
      <w:r w:rsidRPr="000F0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 xml:space="preserve"> procene</w:t>
      </w:r>
      <w:r w:rsidR="005906FB" w:rsidRPr="00F902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: </w:t>
      </w:r>
    </w:p>
    <w:p w14:paraId="0AA9A798" w14:textId="77777777" w:rsidR="006302B7" w:rsidRPr="00F902E5" w:rsidRDefault="006302B7" w:rsidP="009B6FCB">
      <w:pPr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40E7713F" w14:textId="116C23CE" w:rsidR="00C8077A" w:rsidRPr="00F902E5" w:rsidRDefault="000F064C" w:rsidP="00C80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Prijave će se ocenjivati na osnovu sledećih kriterijuma i bodova (ukupni rezultat</w:t>
      </w:r>
      <w:r w:rsidR="00833242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: 100</w:t>
      </w:r>
      <w:r w:rsidR="00C8077A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):</w:t>
      </w:r>
    </w:p>
    <w:p w14:paraId="3E7ABA43" w14:textId="77777777" w:rsidR="000F064C" w:rsidRPr="000F064C" w:rsidRDefault="000F064C" w:rsidP="000F06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Profil upravljanja i učinak  kompanije                                                 20</w:t>
      </w:r>
    </w:p>
    <w:p w14:paraId="054868C5" w14:textId="77777777" w:rsidR="000F064C" w:rsidRPr="000F064C" w:rsidRDefault="000F064C" w:rsidP="000F06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Predlog projekat</w:t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                          20</w:t>
      </w:r>
    </w:p>
    <w:p w14:paraId="45E80B88" w14:textId="77777777" w:rsidR="000F064C" w:rsidRPr="000F064C" w:rsidRDefault="000F064C" w:rsidP="000F06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Tržišni potencijal za izvoz, uključujući nove proizvode</w:t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              20</w:t>
      </w:r>
    </w:p>
    <w:p w14:paraId="720F428F" w14:textId="77777777" w:rsidR="000F064C" w:rsidRPr="000F064C" w:rsidRDefault="000F064C" w:rsidP="000F06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>Metodologija upravljanja rizikom</w:t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                         </w:t>
      </w: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              20</w:t>
      </w:r>
    </w:p>
    <w:p w14:paraId="5F352984" w14:textId="512F1CD2" w:rsidR="00C8077A" w:rsidRPr="00F902E5" w:rsidRDefault="000F064C" w:rsidP="000F06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Način korišćenja sredstava, budžeta i sufinansiranje projekta             </w:t>
      </w:r>
      <w:r w:rsidR="00C8077A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20</w:t>
      </w:r>
    </w:p>
    <w:p w14:paraId="27C99A9B" w14:textId="77777777" w:rsidR="006705BD" w:rsidRPr="00F902E5" w:rsidRDefault="006705BD" w:rsidP="006705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B7D4625" w14:textId="087DCF4C" w:rsidR="00732232" w:rsidRPr="00F902E5" w:rsidRDefault="000F064C" w:rsidP="009E561B">
      <w:pPr>
        <w:widowControl w:val="0"/>
        <w:autoSpaceDE w:val="0"/>
        <w:autoSpaceDN w:val="0"/>
        <w:spacing w:before="119"/>
        <w:ind w:right="116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F064C">
        <w:rPr>
          <w:rFonts w:ascii="Times New Roman" w:hAnsi="Times New Roman" w:cs="Times New Roman"/>
          <w:b/>
          <w:sz w:val="24"/>
          <w:szCs w:val="24"/>
          <w:lang w:val="sr-Latn-RS"/>
        </w:rPr>
        <w:t>Napomena</w:t>
      </w:r>
      <w:r w:rsidR="00E3703B" w:rsidRPr="00F902E5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E3703B" w:rsidRPr="00F902E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1F57039" w14:textId="77777777" w:rsidR="003A6C7F" w:rsidRPr="003A6C7F" w:rsidRDefault="003A6C7F" w:rsidP="003A6C7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19"/>
        <w:ind w:right="116"/>
        <w:jc w:val="both"/>
        <w:rPr>
          <w:i/>
          <w:noProof w:val="0"/>
          <w:lang w:val="sr-Latn-RS"/>
        </w:rPr>
      </w:pPr>
      <w:r w:rsidRPr="003A6C7F">
        <w:rPr>
          <w:i/>
          <w:noProof w:val="0"/>
          <w:lang w:val="sr-Latn-RS"/>
        </w:rPr>
        <w:t xml:space="preserve">Samo projekti koji dobiju više od 65 (šezdeset i pet) bodova će se uzeti u obzir za Program odgovarajućih grantova. </w:t>
      </w:r>
    </w:p>
    <w:p w14:paraId="1A3E2A85" w14:textId="7FDF05EE" w:rsidR="00E3703B" w:rsidRPr="00F902E5" w:rsidRDefault="003A6C7F" w:rsidP="003A6C7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19"/>
        <w:ind w:right="116"/>
        <w:jc w:val="both"/>
        <w:rPr>
          <w:noProof w:val="0"/>
          <w:lang w:val="sr-Latn-RS"/>
        </w:rPr>
      </w:pPr>
      <w:r w:rsidRPr="003A6C7F">
        <w:rPr>
          <w:i/>
          <w:noProof w:val="0"/>
          <w:lang w:val="sr-Latn-RS"/>
        </w:rPr>
        <w:t>Žene preduzetnice koje će se prijaviti za Program odgovrajućih grantova će biti ocenjene sa 10 bonus  bodova</w:t>
      </w:r>
      <w:r w:rsidR="00732232" w:rsidRPr="00F902E5">
        <w:rPr>
          <w:noProof w:val="0"/>
          <w:lang w:val="sr-Latn-RS"/>
        </w:rPr>
        <w:t>.</w:t>
      </w:r>
    </w:p>
    <w:p w14:paraId="480B2EC0" w14:textId="4E902C0D" w:rsidR="009E561B" w:rsidRPr="00F902E5" w:rsidRDefault="003A6C7F" w:rsidP="009E561B">
      <w:pPr>
        <w:widowControl w:val="0"/>
        <w:autoSpaceDE w:val="0"/>
        <w:autoSpaceDN w:val="0"/>
        <w:spacing w:before="119"/>
        <w:ind w:right="116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6C7F">
        <w:rPr>
          <w:rFonts w:ascii="Times New Roman" w:hAnsi="Times New Roman" w:cs="Times New Roman"/>
          <w:b/>
          <w:sz w:val="24"/>
          <w:szCs w:val="24"/>
          <w:lang w:val="sr-Latn-RS"/>
        </w:rPr>
        <w:t>Način finansiranja</w:t>
      </w:r>
      <w:r w:rsidR="009E561B" w:rsidRPr="00F902E5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7411AC2D" w14:textId="77777777" w:rsidR="003A6C7F" w:rsidRPr="003A6C7F" w:rsidRDefault="003A6C7F" w:rsidP="003A6C7F">
      <w:pPr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A6C7F">
        <w:rPr>
          <w:rFonts w:ascii="Times New Roman" w:eastAsia="Times New Roman" w:hAnsi="Times New Roman" w:cs="Times New Roman"/>
          <w:sz w:val="24"/>
          <w:szCs w:val="24"/>
          <w:lang w:val="sr-Latn-RS"/>
        </w:rPr>
        <w:t>Dobijanje standarda i sertifikacija proizvoda definisani su kao grantovi za sufinansiranje troškova MSP-ova za dobijanje međunarodnih standarda i sertifikata. Sredstva koja će biti obezbeđena od strane Programa odgovarajućih grantova će pokrivati maksimalno 60%, ili u novčanom iznosu do 46,800 evra. Podnosilac prijave bi obezbedio najmanje 40 procenata troškova projekta.</w:t>
      </w:r>
    </w:p>
    <w:p w14:paraId="60024E6C" w14:textId="6507281E" w:rsidR="00762C26" w:rsidRPr="00F902E5" w:rsidRDefault="003A6C7F" w:rsidP="003A6C7F">
      <w:pPr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A6C7F">
        <w:rPr>
          <w:rFonts w:ascii="Times New Roman" w:eastAsia="Times New Roman" w:hAnsi="Times New Roman" w:cs="Times New Roman"/>
          <w:sz w:val="24"/>
          <w:szCs w:val="24"/>
          <w:lang w:val="sr-Latn-RS"/>
        </w:rPr>
        <w:t>Usluge poslovnog razvoja i obuke su definisane kao grantovi za sufinansiranje troškova MSP-ova za mogućnost stručnog usavršavanja zaposlenih u MSP-ovima. Finansiranje koje će biti odobreno od strane Programa odgovarajućih grantova će pokriti maksimalno 60%, ili u novčanom iznosu do 25,000 evra. Grupna obuka ili obuka organizovana kroz poslovna udruženja finansiraće se u gotovini u iznosu od 25.000 evra. Individualna obuka se finansira u najvišem iznosu od 5.000 evra</w:t>
      </w:r>
      <w:r w:rsidR="00285A0F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62C26" w:rsidRPr="00F902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F954B8E" w14:textId="4899529C" w:rsidR="001C63DF" w:rsidRPr="00F902E5" w:rsidRDefault="003A6C7F" w:rsidP="001F4132">
      <w:pPr>
        <w:widowControl w:val="0"/>
        <w:autoSpaceDE w:val="0"/>
        <w:autoSpaceDN w:val="0"/>
        <w:spacing w:before="119"/>
        <w:ind w:right="116"/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3A6C7F">
        <w:rPr>
          <w:rFonts w:ascii="Times New Roman" w:hAnsi="Times New Roman" w:cs="Times New Roman"/>
          <w:b/>
          <w:sz w:val="24"/>
          <w:lang w:val="sr-Latn-RS"/>
        </w:rPr>
        <w:t>Program odgovarajućih grantova diskvalifikuje podnosioce prijava za sledeće aktivnosti</w:t>
      </w:r>
      <w:r w:rsidR="001C63DF" w:rsidRPr="00F902E5">
        <w:rPr>
          <w:rFonts w:ascii="Times New Roman" w:hAnsi="Times New Roman" w:cs="Times New Roman"/>
          <w:b/>
          <w:sz w:val="24"/>
          <w:lang w:val="sr-Latn-RS"/>
        </w:rPr>
        <w:t>:</w:t>
      </w:r>
    </w:p>
    <w:p w14:paraId="77EB2AF9" w14:textId="77777777" w:rsidR="003A6C7F" w:rsidRPr="00B6576B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lastRenderedPageBreak/>
        <w:t xml:space="preserve">Kompanije koje su ogranci (u punom vlasništvu ili većinskom </w:t>
      </w:r>
      <w:r>
        <w:rPr>
          <w:noProof w:val="0"/>
          <w:lang w:val="sr-Latn-CS"/>
        </w:rPr>
        <w:t>vlasništvu</w:t>
      </w:r>
      <w:r w:rsidRPr="00FD5B76">
        <w:rPr>
          <w:noProof w:val="0"/>
          <w:lang w:val="sr-Latn-CS"/>
        </w:rPr>
        <w:t>) velikog preduzeća</w:t>
      </w:r>
    </w:p>
    <w:p w14:paraId="13DC79A3" w14:textId="77777777" w:rsidR="003A6C7F" w:rsidRPr="00B6576B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Trgovina divljim životinjama i  proizvodima divlje faune i flore</w:t>
      </w:r>
      <w:r w:rsidRPr="00B6576B">
        <w:rPr>
          <w:noProof w:val="0"/>
          <w:lang w:val="sr-Latn-CS"/>
        </w:rPr>
        <w:t>.</w:t>
      </w:r>
    </w:p>
    <w:p w14:paraId="0C331A57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Proizvodnja, distribucija i prodaja zabranjenih pesticida i herbicida</w:t>
      </w:r>
    </w:p>
    <w:p w14:paraId="1F8630F5" w14:textId="77777777" w:rsidR="003A6C7F" w:rsidRPr="00FD5B76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Ribolov sa mrežom u vodenom okruženju</w:t>
      </w:r>
    </w:p>
    <w:p w14:paraId="7A10E710" w14:textId="77777777" w:rsidR="003A6C7F" w:rsidRPr="00B6576B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Proizvodnja, obrada i odlaganje radioaktivnih proizvoda</w:t>
      </w:r>
    </w:p>
    <w:p w14:paraId="757D5CA0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Konzervacija, tretman i odlaganje opasnog otpada</w:t>
      </w:r>
    </w:p>
    <w:p w14:paraId="65576414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Proizvodnja proizvoda koji sadrže azbest</w:t>
      </w:r>
    </w:p>
    <w:p w14:paraId="64A73A24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Nuklearni reaktori i njihovi delovi</w:t>
      </w:r>
    </w:p>
    <w:p w14:paraId="7E6E5FF9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Sirovi ili obrađeni duvan, uključujući opremu</w:t>
      </w:r>
    </w:p>
    <w:p w14:paraId="6B64DF0C" w14:textId="77777777" w:rsidR="003A6C7F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CS"/>
        </w:rPr>
      </w:pPr>
      <w:r w:rsidRPr="00FD5B76">
        <w:rPr>
          <w:noProof w:val="0"/>
          <w:lang w:val="sr-Latn-CS"/>
        </w:rPr>
        <w:t>Proizvodnja vatrenog oružja</w:t>
      </w:r>
    </w:p>
    <w:p w14:paraId="59419CB7" w14:textId="17CDB87D" w:rsidR="006705BD" w:rsidRPr="00F902E5" w:rsidRDefault="003A6C7F" w:rsidP="003A6C7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19"/>
        <w:ind w:right="116"/>
        <w:contextualSpacing w:val="0"/>
        <w:jc w:val="both"/>
        <w:rPr>
          <w:noProof w:val="0"/>
          <w:lang w:val="sr-Latn-RS"/>
        </w:rPr>
      </w:pPr>
      <w:r w:rsidRPr="00FD5B76">
        <w:rPr>
          <w:noProof w:val="0"/>
          <w:lang w:val="sr-Latn-CS"/>
        </w:rPr>
        <w:t>Destilovani alkohol za konzumaciju</w:t>
      </w:r>
    </w:p>
    <w:p w14:paraId="6D2FF911" w14:textId="77777777" w:rsidR="006705BD" w:rsidRPr="00F902E5" w:rsidRDefault="006705BD" w:rsidP="006705BD">
      <w:pPr>
        <w:widowControl w:val="0"/>
        <w:autoSpaceDE w:val="0"/>
        <w:autoSpaceDN w:val="0"/>
        <w:spacing w:before="119"/>
        <w:ind w:right="116"/>
        <w:jc w:val="both"/>
        <w:rPr>
          <w:lang w:val="sr-Latn-RS"/>
        </w:rPr>
      </w:pPr>
    </w:p>
    <w:p w14:paraId="3544DB27" w14:textId="21A6E5E4" w:rsidR="006705BD" w:rsidRPr="00F902E5" w:rsidRDefault="003A6C7F" w:rsidP="006705BD">
      <w:pPr>
        <w:widowControl w:val="0"/>
        <w:autoSpaceDE w:val="0"/>
        <w:autoSpaceDN w:val="0"/>
        <w:spacing w:before="119"/>
        <w:ind w:right="11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Dodatna objašnjenja</w:t>
      </w:r>
      <w:r w:rsidR="006705BD" w:rsidRPr="00F902E5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: </w:t>
      </w:r>
    </w:p>
    <w:p w14:paraId="45A2F2F8" w14:textId="77777777" w:rsidR="003A6C7F" w:rsidRPr="003A6C7F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>Broj korisnika će biti ograničen u zavisnosti od budžetskih ograničenja.</w:t>
      </w:r>
    </w:p>
    <w:p w14:paraId="174FE911" w14:textId="77777777" w:rsidR="003A6C7F" w:rsidRPr="003A6C7F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>Trajanje projekta ne bi trebalo da bude duže od 12 meseci, osim ako je drugačije dogovoreno u sporazumu potpisanom između strana ugovornica.</w:t>
      </w:r>
    </w:p>
    <w:p w14:paraId="6FACE3E6" w14:textId="77777777" w:rsidR="003A6C7F" w:rsidRPr="003A6C7F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 xml:space="preserve">Preduzeća korisnici treba da izaberu konsultante za komponentu usluga i obuke za razvoj poslovanja. </w:t>
      </w:r>
    </w:p>
    <w:p w14:paraId="56AFEDA2" w14:textId="77777777" w:rsidR="003A6C7F" w:rsidRPr="003A6C7F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 xml:space="preserve">Korisnik treba da izabere telo/instituciju za izdavanje potvrde, akreditovanu i međunarodno priznatu, za komponentu dobijanja standarda i sertifikacije proizvoda. </w:t>
      </w:r>
    </w:p>
    <w:p w14:paraId="363C3C17" w14:textId="77777777" w:rsidR="003A6C7F" w:rsidRPr="003A6C7F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>PDV je neprihvatljiv trošak za preduzeća koja prijavljuju PDV.</w:t>
      </w:r>
    </w:p>
    <w:p w14:paraId="0AC05821" w14:textId="3FDA08D6" w:rsidR="005C7AC7" w:rsidRPr="00F902E5" w:rsidRDefault="003A6C7F" w:rsidP="003A6C7F">
      <w:pPr>
        <w:pStyle w:val="ListParagraph"/>
        <w:numPr>
          <w:ilvl w:val="0"/>
          <w:numId w:val="5"/>
        </w:numPr>
        <w:rPr>
          <w:rFonts w:eastAsia="MS Mincho"/>
          <w:noProof w:val="0"/>
          <w:lang w:val="sr-Latn-RS"/>
        </w:rPr>
      </w:pPr>
      <w:r w:rsidRPr="003A6C7F">
        <w:rPr>
          <w:rFonts w:eastAsia="MS Mincho"/>
          <w:noProof w:val="0"/>
          <w:lang w:val="sr-Latn-RS"/>
        </w:rPr>
        <w:t>Jedno preduzeće ili poslovno udruženje može podneti prijavu za najviše tri projekta u okviru Programa odgovarajućih grantova. Ukupan iznos svih projekata za MSP ili poslovno udruženje ne može biti veći od 50.000 evra</w:t>
      </w:r>
      <w:r w:rsidR="001F4132" w:rsidRPr="00F902E5">
        <w:rPr>
          <w:rFonts w:eastAsia="MS Mincho"/>
          <w:noProof w:val="0"/>
          <w:lang w:val="sr-Latn-RS"/>
        </w:rPr>
        <w:t>.</w:t>
      </w:r>
      <w:r w:rsidR="00A45F85" w:rsidRPr="00F902E5">
        <w:rPr>
          <w:rFonts w:eastAsia="MS Mincho"/>
          <w:lang w:val="sr-Latn-RS"/>
        </w:rPr>
        <w:t xml:space="preserve">  </w:t>
      </w:r>
    </w:p>
    <w:p w14:paraId="6E6DB1F6" w14:textId="77777777" w:rsidR="00EF0F63" w:rsidRPr="00F902E5" w:rsidRDefault="00EF0F63" w:rsidP="00EF0F63">
      <w:pPr>
        <w:pStyle w:val="ListParagraph"/>
        <w:jc w:val="both"/>
        <w:rPr>
          <w:noProof w:val="0"/>
          <w:lang w:val="sr-Latn-RS"/>
        </w:rPr>
      </w:pPr>
    </w:p>
    <w:p w14:paraId="00D046D6" w14:textId="77777777" w:rsidR="001F4132" w:rsidRPr="00F902E5" w:rsidRDefault="001F4132" w:rsidP="00285A0F">
      <w:pPr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EE4F143" w14:textId="1FC041FF" w:rsidR="001F4132" w:rsidRPr="00F902E5" w:rsidRDefault="003A6C7F" w:rsidP="001F41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3A6C7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Period prijave</w:t>
      </w:r>
      <w:r w:rsidR="001F4132" w:rsidRPr="00F902E5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: </w:t>
      </w:r>
    </w:p>
    <w:p w14:paraId="17A552BF" w14:textId="43C6E64E" w:rsidR="00245E3C" w:rsidRPr="00F902E5" w:rsidRDefault="003A6C7F" w:rsidP="001F4132">
      <w:pPr>
        <w:spacing w:after="0" w:line="240" w:lineRule="auto"/>
        <w:ind w:right="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3A6C7F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Obaveštenje o javnom pozivu objavljuje se na veb stranici Ministarstva trgovine i industrije </w:t>
      </w:r>
      <w:r w:rsidRPr="003A6C7F">
        <w:rPr>
          <w:rFonts w:ascii="Times New Roman" w:eastAsia="Tahoma" w:hAnsi="Times New Roman" w:cs="Times New Roman"/>
          <w:i/>
          <w:color w:val="0563C1"/>
          <w:sz w:val="24"/>
          <w:szCs w:val="24"/>
          <w:u w:val="single"/>
          <w:lang w:val="sr-Latn-CS"/>
        </w:rPr>
        <w:t>mti.rks-gov.net</w:t>
      </w:r>
      <w:r w:rsidRPr="003A6C7F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i na veb stranici agencije KIESA </w:t>
      </w:r>
      <w:r w:rsidRPr="003A6C7F">
        <w:rPr>
          <w:rFonts w:ascii="Times New Roman" w:eastAsia="Tahoma" w:hAnsi="Times New Roman" w:cs="Times New Roman"/>
          <w:i/>
          <w:color w:val="0563C1"/>
          <w:sz w:val="24"/>
          <w:szCs w:val="24"/>
          <w:u w:val="single"/>
          <w:lang w:val="sr-Latn-CS"/>
        </w:rPr>
        <w:t>kiesa.rks-gov.net</w:t>
      </w:r>
      <w:r w:rsidRPr="003A6C7F">
        <w:rPr>
          <w:rFonts w:ascii="Times New Roman" w:eastAsia="MS Mincho" w:hAnsi="Times New Roman" w:cs="Times New Roman"/>
          <w:sz w:val="24"/>
          <w:szCs w:val="24"/>
          <w:lang w:val="sr-Latn-RS"/>
        </w:rPr>
        <w:t>. Subjekti koji žele da se prijave za javni poziv moraju izraziti svoj interes slanjem prijava putem Online portala KIESA-e https://kiesaportal.rks-gov.net/login, kao i u štampanoj verziji Kancelariji za projekte Svetske banke (CERP) koja se nalazi u okviru MTI-a, a koja će razmotriti mogućnost u slučajevima kada on-line prijava nije izvodljiva</w:t>
      </w:r>
      <w:r w:rsidR="00245E3C"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. </w:t>
      </w:r>
    </w:p>
    <w:p w14:paraId="7BDA06AF" w14:textId="77777777" w:rsidR="001F4132" w:rsidRPr="00F902E5" w:rsidRDefault="001F4132" w:rsidP="001F4132">
      <w:pPr>
        <w:spacing w:after="0" w:line="240" w:lineRule="auto"/>
        <w:ind w:right="26"/>
        <w:contextualSpacing/>
        <w:jc w:val="both"/>
        <w:rPr>
          <w:rFonts w:ascii="Times New Roman" w:eastAsia="MS Mincho" w:hAnsi="Times New Roman" w:cs="Times New Roman"/>
          <w:color w:val="0070C0"/>
          <w:sz w:val="24"/>
          <w:szCs w:val="24"/>
          <w:lang w:val="sr-Latn-RS"/>
        </w:rPr>
      </w:pPr>
    </w:p>
    <w:p w14:paraId="763F73D6" w14:textId="78FF7759" w:rsidR="001F4132" w:rsidRPr="00F902E5" w:rsidRDefault="003A6C7F" w:rsidP="001F4132">
      <w:pPr>
        <w:spacing w:after="0" w:line="240" w:lineRule="auto"/>
        <w:ind w:right="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FD5B76">
        <w:rPr>
          <w:rFonts w:ascii="Times New Roman" w:eastAsia="MS Mincho" w:hAnsi="Times New Roman" w:cs="Times New Roman"/>
          <w:i/>
          <w:sz w:val="24"/>
          <w:szCs w:val="24"/>
          <w:lang w:val="sr-Latn-CS"/>
        </w:rPr>
        <w:t xml:space="preserve">Rok za iskazivanje interesa </w:t>
      </w:r>
      <w:r w:rsidRPr="00F96ED3">
        <w:rPr>
          <w:rFonts w:ascii="Times New Roman" w:eastAsia="MS Mincho" w:hAnsi="Times New Roman" w:cs="Times New Roman"/>
          <w:i/>
          <w:sz w:val="24"/>
          <w:szCs w:val="24"/>
          <w:lang w:val="sr-Latn-CS"/>
        </w:rPr>
        <w:t xml:space="preserve">je </w:t>
      </w:r>
      <w:r w:rsidR="00F96ED3" w:rsidRPr="00F96ED3">
        <w:rPr>
          <w:rFonts w:ascii="Times New Roman" w:eastAsia="MS Mincho" w:hAnsi="Times New Roman" w:cs="Times New Roman"/>
          <w:i/>
          <w:sz w:val="24"/>
          <w:szCs w:val="24"/>
          <w:lang w:val="sr-Latn-CS"/>
        </w:rPr>
        <w:t>20.04.2019</w:t>
      </w:r>
      <w:r w:rsidR="001F4132" w:rsidRPr="00F96ED3">
        <w:rPr>
          <w:rFonts w:ascii="Times New Roman" w:eastAsia="MS Mincho" w:hAnsi="Times New Roman" w:cs="Times New Roman"/>
          <w:i/>
          <w:sz w:val="24"/>
          <w:szCs w:val="24"/>
          <w:lang w:val="sr-Latn-RS"/>
        </w:rPr>
        <w:t xml:space="preserve">. </w:t>
      </w:r>
    </w:p>
    <w:p w14:paraId="7B4BDA24" w14:textId="77777777" w:rsidR="001F4132" w:rsidRPr="00F902E5" w:rsidRDefault="001F4132" w:rsidP="001F4132">
      <w:pPr>
        <w:spacing w:after="0" w:line="240" w:lineRule="auto"/>
        <w:ind w:right="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</w:p>
    <w:p w14:paraId="1E840B15" w14:textId="6B6FFF33" w:rsidR="001F4132" w:rsidRPr="00F902E5" w:rsidRDefault="003A6C7F" w:rsidP="001F4132">
      <w:pPr>
        <w:widowControl w:val="0"/>
        <w:autoSpaceDE w:val="0"/>
        <w:autoSpaceDN w:val="0"/>
        <w:spacing w:before="119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5B76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Dodatne informacije i </w:t>
      </w:r>
      <w:r>
        <w:rPr>
          <w:rFonts w:ascii="Times New Roman" w:eastAsia="MS Mincho" w:hAnsi="Times New Roman" w:cs="Times New Roman"/>
          <w:sz w:val="24"/>
          <w:szCs w:val="24"/>
          <w:lang w:val="sr-Latn-CS"/>
        </w:rPr>
        <w:t>objašnjenja</w:t>
      </w:r>
      <w:r w:rsidRPr="00FD5B76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r-Latn-CS"/>
        </w:rPr>
        <w:t>mogu se</w:t>
      </w:r>
      <w:r w:rsidRPr="00FD5B76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 dobiti na e-mail </w:t>
      </w:r>
      <w:hyperlink r:id="rId10" w:history="1">
        <w:r w:rsidR="00033671" w:rsidRPr="00F902E5">
          <w:rPr>
            <w:rStyle w:val="Hyperlink"/>
            <w:rFonts w:ascii="Times New Roman" w:eastAsia="MS Mincho" w:hAnsi="Times New Roman" w:cs="Times New Roman"/>
            <w:sz w:val="24"/>
            <w:szCs w:val="24"/>
            <w:lang w:val="sr-Latn-RS"/>
          </w:rPr>
          <w:t>info.</w:t>
        </w:r>
      </w:hyperlink>
      <w:r w:rsidR="00033671" w:rsidRPr="00F902E5">
        <w:rPr>
          <w:rStyle w:val="Hyperlink"/>
          <w:rFonts w:ascii="Times New Roman" w:eastAsia="MS Mincho" w:hAnsi="Times New Roman" w:cs="Times New Roman"/>
          <w:sz w:val="24"/>
          <w:szCs w:val="24"/>
          <w:lang w:val="sr-Latn-RS"/>
        </w:rPr>
        <w:t>mgp-cerp@rks-gov.net</w:t>
      </w:r>
      <w:r w:rsidR="00033671"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 </w:t>
      </w:r>
      <w:r w:rsidRPr="00B6576B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 </w:t>
      </w:r>
      <w:hyperlink r:id="rId11" w:history="1">
        <w:r w:rsidR="00F96ED3">
          <w:rPr>
            <w:rStyle w:val="Hyperlink"/>
            <w:rFonts w:eastAsia="MS Mincho"/>
          </w:rPr>
          <w:t>mimoza.ramadani@rks-gov.net</w:t>
        </w:r>
      </w:hyperlink>
      <w:r w:rsidRPr="00B6576B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ili kontakt broj </w:t>
      </w:r>
      <w:r w:rsidRPr="00B6576B">
        <w:rPr>
          <w:rFonts w:ascii="Times New Roman" w:eastAsia="MS Mincho" w:hAnsi="Times New Roman" w:cs="Times New Roman"/>
          <w:sz w:val="24"/>
          <w:szCs w:val="24"/>
          <w:lang w:val="sr-Latn-CS"/>
        </w:rPr>
        <w:t xml:space="preserve"> </w:t>
      </w:r>
      <w:r w:rsidRPr="00B6576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CS"/>
        </w:rPr>
        <w:t>038 200 36 64</w:t>
      </w:r>
      <w:r w:rsidR="006D71F0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CS"/>
        </w:rPr>
        <w:t>5</w:t>
      </w:r>
      <w:r w:rsidRPr="00B6576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r-Latn-CS"/>
        </w:rPr>
        <w:t xml:space="preserve"> </w:t>
      </w:r>
      <w:r w:rsidRPr="00B6576B">
        <w:rPr>
          <w:color w:val="000000" w:themeColor="text1"/>
          <w:lang w:val="sr-Latn-C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r-Latn-CS"/>
        </w:rPr>
        <w:t>najkasnije do</w:t>
      </w:r>
      <w:r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</w:t>
      </w:r>
      <w:r w:rsidR="009161D3" w:rsidRPr="00F902E5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on </w:t>
      </w:r>
      <w:r w:rsidR="00F96ED3">
        <w:rPr>
          <w:rFonts w:ascii="Times New Roman" w:eastAsia="MS Mincho" w:hAnsi="Times New Roman" w:cs="Times New Roman"/>
          <w:sz w:val="24"/>
          <w:szCs w:val="24"/>
          <w:lang w:val="sr-Latn-RS"/>
        </w:rPr>
        <w:t>20.04.2019</w:t>
      </w:r>
    </w:p>
    <w:p w14:paraId="7164AB61" w14:textId="7103F47C" w:rsidR="00E3703B" w:rsidRPr="00F902E5" w:rsidRDefault="00E3703B" w:rsidP="00285A0F">
      <w:pPr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2CF2FAC" w14:textId="77777777" w:rsidR="00E3703B" w:rsidRPr="00F902E5" w:rsidRDefault="00E3703B" w:rsidP="00285A0F">
      <w:pPr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A74935B" w14:textId="77777777" w:rsidR="007D4B33" w:rsidRPr="00F902E5" w:rsidRDefault="007D4B33" w:rsidP="007D4B33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sectPr w:rsidR="007D4B33" w:rsidRPr="00F9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A7099" w14:textId="77777777" w:rsidR="00324F8F" w:rsidRDefault="00324F8F" w:rsidP="00C5494A">
      <w:pPr>
        <w:spacing w:after="0" w:line="240" w:lineRule="auto"/>
      </w:pPr>
      <w:r>
        <w:separator/>
      </w:r>
    </w:p>
  </w:endnote>
  <w:endnote w:type="continuationSeparator" w:id="0">
    <w:p w14:paraId="35564624" w14:textId="77777777" w:rsidR="00324F8F" w:rsidRDefault="00324F8F" w:rsidP="00C5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BCE81" w14:textId="77777777" w:rsidR="00324F8F" w:rsidRDefault="00324F8F" w:rsidP="00C5494A">
      <w:pPr>
        <w:spacing w:after="0" w:line="240" w:lineRule="auto"/>
      </w:pPr>
      <w:r>
        <w:separator/>
      </w:r>
    </w:p>
  </w:footnote>
  <w:footnote w:type="continuationSeparator" w:id="0">
    <w:p w14:paraId="1A80A5EC" w14:textId="77777777" w:rsidR="00324F8F" w:rsidRDefault="00324F8F" w:rsidP="00C5494A">
      <w:pPr>
        <w:spacing w:after="0" w:line="240" w:lineRule="auto"/>
      </w:pPr>
      <w:r>
        <w:continuationSeparator/>
      </w:r>
    </w:p>
  </w:footnote>
  <w:footnote w:id="1">
    <w:p w14:paraId="66477D9A" w14:textId="35E7EDA4" w:rsidR="002B22DD" w:rsidRPr="00F902E5" w:rsidRDefault="002B22DD" w:rsidP="002B22DD">
      <w:pPr>
        <w:pStyle w:val="FootnoteText"/>
        <w:rPr>
          <w:rFonts w:ascii="Times New Roman" w:hAnsi="Times New Roman" w:cs="Times New Roman"/>
          <w:lang w:val="sr-Latn-RS"/>
        </w:rPr>
      </w:pPr>
      <w:r w:rsidRPr="00F902E5">
        <w:rPr>
          <w:rStyle w:val="FootnoteReference"/>
          <w:rFonts w:ascii="Times New Roman" w:hAnsi="Times New Roman" w:cs="Times New Roman"/>
          <w:lang w:val="sr-Latn-RS"/>
        </w:rPr>
        <w:footnoteRef/>
      </w:r>
      <w:r w:rsidR="005906FB" w:rsidRPr="00F902E5">
        <w:rPr>
          <w:rFonts w:ascii="Times New Roman" w:hAnsi="Times New Roman" w:cs="Times New Roman"/>
          <w:lang w:val="sr-Latn-RS"/>
        </w:rPr>
        <w:t xml:space="preserve"> </w:t>
      </w:r>
      <w:r w:rsidR="00F902E5" w:rsidRPr="00F902E5">
        <w:rPr>
          <w:rFonts w:ascii="Times New Roman" w:hAnsi="Times New Roman" w:cs="Times New Roman"/>
          <w:lang w:val="sr-Latn-RS"/>
        </w:rPr>
        <w:t>Ovo se odnosi na korisnika, a podnosi se pre potpisivanja ugovora.</w:t>
      </w:r>
    </w:p>
  </w:footnote>
  <w:footnote w:id="2">
    <w:p w14:paraId="390A0EE6" w14:textId="28CEB7A9" w:rsidR="0024002F" w:rsidRPr="00F902E5" w:rsidRDefault="0024002F">
      <w:pPr>
        <w:pStyle w:val="FootnoteText"/>
        <w:rPr>
          <w:lang w:val="sr-Latn-RS"/>
        </w:rPr>
      </w:pPr>
      <w:r w:rsidRPr="00F902E5">
        <w:rPr>
          <w:rStyle w:val="FootnoteReference"/>
          <w:lang w:val="sr-Latn-RS"/>
        </w:rPr>
        <w:footnoteRef/>
      </w:r>
      <w:r w:rsidRPr="00F902E5">
        <w:rPr>
          <w:lang w:val="sr-Latn-RS"/>
        </w:rPr>
        <w:t xml:space="preserve"> </w:t>
      </w:r>
      <w:r w:rsidR="000F064C" w:rsidRPr="000F064C">
        <w:rPr>
          <w:rFonts w:ascii="Times New Roman" w:hAnsi="Times New Roman" w:cs="Times New Roman"/>
          <w:lang w:val="sr-Latn-RS"/>
        </w:rPr>
        <w:t>Dostaviti obračun prometa</w:t>
      </w:r>
      <w:r w:rsidRPr="00F902E5">
        <w:rPr>
          <w:rFonts w:ascii="Times New Roman" w:hAnsi="Times New Roman" w:cs="Times New Roman"/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5CC"/>
    <w:multiLevelType w:val="hybridMultilevel"/>
    <w:tmpl w:val="76F878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707"/>
    <w:multiLevelType w:val="hybridMultilevel"/>
    <w:tmpl w:val="43A47630"/>
    <w:lvl w:ilvl="0" w:tplc="7B000BA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B678D"/>
    <w:multiLevelType w:val="hybridMultilevel"/>
    <w:tmpl w:val="CB88C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F562B"/>
    <w:multiLevelType w:val="hybridMultilevel"/>
    <w:tmpl w:val="9EE676CA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07432"/>
    <w:multiLevelType w:val="hybridMultilevel"/>
    <w:tmpl w:val="1ABA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2D03"/>
    <w:multiLevelType w:val="hybridMultilevel"/>
    <w:tmpl w:val="8CA2B38C"/>
    <w:lvl w:ilvl="0" w:tplc="D3F8664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60F"/>
    <w:multiLevelType w:val="hybridMultilevel"/>
    <w:tmpl w:val="35AEE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3053"/>
    <w:multiLevelType w:val="hybridMultilevel"/>
    <w:tmpl w:val="5B60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2D5E20"/>
    <w:multiLevelType w:val="hybridMultilevel"/>
    <w:tmpl w:val="02B2AA3A"/>
    <w:lvl w:ilvl="0" w:tplc="0248F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BB00B5C"/>
    <w:multiLevelType w:val="hybridMultilevel"/>
    <w:tmpl w:val="5672CE14"/>
    <w:lvl w:ilvl="0" w:tplc="7AC4527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7251819"/>
    <w:multiLevelType w:val="hybridMultilevel"/>
    <w:tmpl w:val="5F385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563BF"/>
    <w:multiLevelType w:val="multilevel"/>
    <w:tmpl w:val="46E89AE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F53ADD"/>
    <w:multiLevelType w:val="hybridMultilevel"/>
    <w:tmpl w:val="D4FA0D70"/>
    <w:lvl w:ilvl="0" w:tplc="7E3C4E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615E"/>
    <w:multiLevelType w:val="hybridMultilevel"/>
    <w:tmpl w:val="2C60B024"/>
    <w:lvl w:ilvl="0" w:tplc="9F8E8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D648A"/>
    <w:multiLevelType w:val="hybridMultilevel"/>
    <w:tmpl w:val="AFFC0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52519B"/>
    <w:multiLevelType w:val="hybridMultilevel"/>
    <w:tmpl w:val="D6AC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15"/>
  </w:num>
  <w:num w:numId="12">
    <w:abstractNumId w:val="14"/>
  </w:num>
  <w:num w:numId="13">
    <w:abstractNumId w:val="9"/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9A"/>
    <w:rsid w:val="00033671"/>
    <w:rsid w:val="000635EF"/>
    <w:rsid w:val="00070ED9"/>
    <w:rsid w:val="000A569A"/>
    <w:rsid w:val="000B3E7F"/>
    <w:rsid w:val="000C4308"/>
    <w:rsid w:val="000D3014"/>
    <w:rsid w:val="000E022C"/>
    <w:rsid w:val="000E0A73"/>
    <w:rsid w:val="000E312D"/>
    <w:rsid w:val="000E5FB8"/>
    <w:rsid w:val="000F064C"/>
    <w:rsid w:val="001862BB"/>
    <w:rsid w:val="001C63DF"/>
    <w:rsid w:val="001F16D8"/>
    <w:rsid w:val="001F4132"/>
    <w:rsid w:val="0024002F"/>
    <w:rsid w:val="0024156F"/>
    <w:rsid w:val="00245E3C"/>
    <w:rsid w:val="0025576A"/>
    <w:rsid w:val="00285A0F"/>
    <w:rsid w:val="002B22DD"/>
    <w:rsid w:val="002F1E80"/>
    <w:rsid w:val="002F61B0"/>
    <w:rsid w:val="003164D1"/>
    <w:rsid w:val="00324F8F"/>
    <w:rsid w:val="00394548"/>
    <w:rsid w:val="003A6C7F"/>
    <w:rsid w:val="00437CAB"/>
    <w:rsid w:val="00461EAE"/>
    <w:rsid w:val="004817DD"/>
    <w:rsid w:val="004A0705"/>
    <w:rsid w:val="004F1163"/>
    <w:rsid w:val="00525622"/>
    <w:rsid w:val="005310D5"/>
    <w:rsid w:val="005906FB"/>
    <w:rsid w:val="005C7AC7"/>
    <w:rsid w:val="00606CC5"/>
    <w:rsid w:val="00610D24"/>
    <w:rsid w:val="00615D17"/>
    <w:rsid w:val="006302B7"/>
    <w:rsid w:val="00634973"/>
    <w:rsid w:val="006454BD"/>
    <w:rsid w:val="00666AC4"/>
    <w:rsid w:val="006705BD"/>
    <w:rsid w:val="006A4760"/>
    <w:rsid w:val="006C2066"/>
    <w:rsid w:val="006D0533"/>
    <w:rsid w:val="006D4FC6"/>
    <w:rsid w:val="006D71F0"/>
    <w:rsid w:val="006E2ED8"/>
    <w:rsid w:val="00706EB2"/>
    <w:rsid w:val="00710195"/>
    <w:rsid w:val="00732232"/>
    <w:rsid w:val="0075173D"/>
    <w:rsid w:val="00757137"/>
    <w:rsid w:val="007607C6"/>
    <w:rsid w:val="00762C26"/>
    <w:rsid w:val="00766F11"/>
    <w:rsid w:val="00777562"/>
    <w:rsid w:val="007D1D4E"/>
    <w:rsid w:val="007D26C6"/>
    <w:rsid w:val="007D4B33"/>
    <w:rsid w:val="008068F0"/>
    <w:rsid w:val="0082629A"/>
    <w:rsid w:val="00833242"/>
    <w:rsid w:val="00845BE3"/>
    <w:rsid w:val="00891FE5"/>
    <w:rsid w:val="009161D3"/>
    <w:rsid w:val="009362EB"/>
    <w:rsid w:val="00943BA3"/>
    <w:rsid w:val="00997706"/>
    <w:rsid w:val="009A078E"/>
    <w:rsid w:val="009B6FCB"/>
    <w:rsid w:val="009C3DDD"/>
    <w:rsid w:val="009E561B"/>
    <w:rsid w:val="00A45F85"/>
    <w:rsid w:val="00A73D36"/>
    <w:rsid w:val="00A97BAD"/>
    <w:rsid w:val="00AD28E2"/>
    <w:rsid w:val="00AE3880"/>
    <w:rsid w:val="00AF4AF0"/>
    <w:rsid w:val="00B06F77"/>
    <w:rsid w:val="00B15C6A"/>
    <w:rsid w:val="00B3289F"/>
    <w:rsid w:val="00B36CF7"/>
    <w:rsid w:val="00B41201"/>
    <w:rsid w:val="00B70D4A"/>
    <w:rsid w:val="00BA556E"/>
    <w:rsid w:val="00BD165C"/>
    <w:rsid w:val="00C5494A"/>
    <w:rsid w:val="00C8077A"/>
    <w:rsid w:val="00CA10FE"/>
    <w:rsid w:val="00CD17F3"/>
    <w:rsid w:val="00D15B49"/>
    <w:rsid w:val="00D5062F"/>
    <w:rsid w:val="00D8717C"/>
    <w:rsid w:val="00DD1C81"/>
    <w:rsid w:val="00E13D5D"/>
    <w:rsid w:val="00E30C44"/>
    <w:rsid w:val="00E3703B"/>
    <w:rsid w:val="00EA6A26"/>
    <w:rsid w:val="00ED17D3"/>
    <w:rsid w:val="00EF0F63"/>
    <w:rsid w:val="00F25EDC"/>
    <w:rsid w:val="00F32A33"/>
    <w:rsid w:val="00F63B2E"/>
    <w:rsid w:val="00F67C10"/>
    <w:rsid w:val="00F902E5"/>
    <w:rsid w:val="00F96ED3"/>
    <w:rsid w:val="00FF3CA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9C9B"/>
  <w15:docId w15:val="{A9F20160-F646-40CB-8777-AE14AF10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DD1C81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1"/>
    <w:qFormat/>
    <w:rsid w:val="00DD1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C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2C26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E2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E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49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9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9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12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moza.ramadani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cerp.mg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2045-0C0C-4C0C-8D5A-CED2E1A6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Valmire Morina</dc:creator>
  <cp:lastModifiedBy>Valmire Morina</cp:lastModifiedBy>
  <cp:revision>5</cp:revision>
  <dcterms:created xsi:type="dcterms:W3CDTF">2019-03-05T14:51:00Z</dcterms:created>
  <dcterms:modified xsi:type="dcterms:W3CDTF">2019-03-19T12:41:00Z</dcterms:modified>
</cp:coreProperties>
</file>