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876CC6">
        <w:rPr>
          <w:b/>
          <w:bCs/>
          <w:sz w:val="24"/>
          <w:szCs w:val="24"/>
        </w:rPr>
        <w:t>09</w:t>
      </w:r>
      <w:r w:rsidR="00ED408E">
        <w:rPr>
          <w:b/>
          <w:bCs/>
          <w:sz w:val="24"/>
          <w:szCs w:val="24"/>
        </w:rPr>
        <w:t>/03/2017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ED408E">
              <w:rPr>
                <w:b/>
                <w:bCs/>
                <w:sz w:val="24"/>
                <w:szCs w:val="24"/>
              </w:rPr>
              <w:t>1</w:t>
            </w:r>
            <w:r w:rsidR="003D325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3D3252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3D3252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3D3252">
              <w:rPr>
                <w:rStyle w:val="shorttext"/>
                <w:sz w:val="24"/>
                <w:szCs w:val="24"/>
                <w:lang w:val="hr-HR"/>
              </w:rPr>
              <w:t>Kupnja telefonske opreme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3D3252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D3252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3D3252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3D3252">
              <w:rPr>
                <w:rStyle w:val="shorttext"/>
                <w:sz w:val="24"/>
                <w:szCs w:val="24"/>
                <w:lang w:val="hr-HR"/>
              </w:rPr>
              <w:t>Kupnja telefonske opreme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3D3252">
              <w:rPr>
                <w:b/>
                <w:bCs/>
                <w:sz w:val="24"/>
                <w:szCs w:val="24"/>
              </w:rPr>
              <w:t>350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Pozavršetku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ponude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876CC6">
              <w:rPr>
                <w:b/>
                <w:bCs/>
                <w:sz w:val="24"/>
                <w:szCs w:val="24"/>
              </w:rPr>
              <w:t>09</w:t>
            </w:r>
            <w:r w:rsidR="00ED408E">
              <w:rPr>
                <w:b/>
                <w:bCs/>
                <w:sz w:val="24"/>
                <w:szCs w:val="24"/>
              </w:rPr>
              <w:t>.03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876CC6">
              <w:rPr>
                <w:b/>
                <w:bCs/>
                <w:sz w:val="24"/>
                <w:szCs w:val="24"/>
                <w:lang w:val="en-US"/>
              </w:rPr>
              <w:t>09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.03.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D10E8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876CC6">
              <w:rPr>
                <w:b/>
                <w:sz w:val="24"/>
                <w:szCs w:val="24"/>
                <w:lang w:val="en-US"/>
              </w:rPr>
              <w:t>09</w:t>
            </w:r>
            <w:r w:rsidR="00ED408E">
              <w:rPr>
                <w:b/>
                <w:sz w:val="24"/>
                <w:szCs w:val="24"/>
                <w:lang w:val="en-US"/>
              </w:rPr>
              <w:t>.03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ED408E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ED408E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852448">
              <w:rPr>
                <w:lang w:val="sq-AL"/>
              </w:rPr>
              <w:t>Afrim Haradini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852448">
              <w:rPr>
                <w:sz w:val="22"/>
                <w:szCs w:val="22"/>
                <w:lang w:val="en-US"/>
              </w:rPr>
              <w:t>044/150</w:t>
            </w:r>
            <w:r w:rsidR="00876CC6">
              <w:rPr>
                <w:sz w:val="22"/>
                <w:szCs w:val="22"/>
                <w:lang w:val="en-US"/>
              </w:rPr>
              <w:t>-</w:t>
            </w:r>
            <w:r w:rsidR="00852448">
              <w:rPr>
                <w:sz w:val="22"/>
                <w:szCs w:val="22"/>
                <w:lang w:val="en-US"/>
              </w:rPr>
              <w:t>222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3D3252" w:rsidRPr="003D3252">
              <w:rPr>
                <w:b/>
                <w:sz w:val="24"/>
                <w:szCs w:val="24"/>
                <w:lang w:val="en-US"/>
              </w:rPr>
              <w:t>3</w:t>
            </w:r>
            <w:r w:rsidR="00876CC6" w:rsidRPr="00876CC6">
              <w:rPr>
                <w:b/>
                <w:sz w:val="24"/>
                <w:szCs w:val="24"/>
                <w:lang w:val="en-US"/>
              </w:rPr>
              <w:t>5</w:t>
            </w:r>
            <w:r w:rsidR="00114AAF" w:rsidRPr="00114AAF">
              <w:rPr>
                <w:b/>
                <w:sz w:val="24"/>
                <w:szCs w:val="24"/>
              </w:rPr>
              <w:t xml:space="preserve">0.00 </w:t>
            </w:r>
            <w:r w:rsidR="001F2295" w:rsidRPr="002B34E6">
              <w:rPr>
                <w:b/>
                <w:sz w:val="24"/>
                <w:szCs w:val="24"/>
              </w:rPr>
              <w:t>€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3D3252" w:rsidRPr="003D3252">
              <w:rPr>
                <w:b/>
                <w:sz w:val="24"/>
                <w:szCs w:val="24"/>
                <w:lang w:val="en-US"/>
              </w:rPr>
              <w:t>3</w:t>
            </w:r>
            <w:r w:rsidR="00876CC6" w:rsidRPr="00876CC6">
              <w:rPr>
                <w:b/>
                <w:sz w:val="24"/>
                <w:szCs w:val="24"/>
                <w:lang w:val="en-US"/>
              </w:rPr>
              <w:t>5</w:t>
            </w:r>
            <w:r w:rsidR="00114AAF" w:rsidRPr="00114AAF">
              <w:rPr>
                <w:b/>
                <w:sz w:val="24"/>
                <w:szCs w:val="24"/>
              </w:rPr>
              <w:t xml:space="preserve">0.00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264E06">
              <w:rPr>
                <w:b/>
                <w:sz w:val="24"/>
                <w:szCs w:val="24"/>
              </w:rPr>
              <w:t>435</w:t>
            </w:r>
            <w:bookmarkStart w:id="22" w:name="_GoBack"/>
            <w:bookmarkEnd w:id="22"/>
            <w:r w:rsidR="00114AAF" w:rsidRPr="00114AAF">
              <w:rPr>
                <w:b/>
                <w:sz w:val="24"/>
                <w:szCs w:val="24"/>
              </w:rPr>
              <w:t xml:space="preserve">.00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60A" w:rsidRDefault="0064260A">
      <w:r>
        <w:separator/>
      </w:r>
    </w:p>
  </w:endnote>
  <w:endnote w:type="continuationSeparator" w:id="0">
    <w:p w:rsidR="0064260A" w:rsidRDefault="0064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60A" w:rsidRDefault="0064260A">
      <w:r>
        <w:separator/>
      </w:r>
    </w:p>
  </w:footnote>
  <w:footnote w:type="continuationSeparator" w:id="0">
    <w:p w:rsidR="0064260A" w:rsidRDefault="00642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136B5-DBA0-4CAC-B6EA-D219C101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8</cp:revision>
  <cp:lastPrinted>2006-09-15T14:10:00Z</cp:lastPrinted>
  <dcterms:created xsi:type="dcterms:W3CDTF">2017-03-07T08:07:00Z</dcterms:created>
  <dcterms:modified xsi:type="dcterms:W3CDTF">2017-03-10T13:39:00Z</dcterms:modified>
</cp:coreProperties>
</file>